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752AA" w14:textId="77777777" w:rsidR="00603F08" w:rsidRDefault="00603F08" w:rsidP="003432B2">
      <w:pPr>
        <w:pStyle w:val="EITUM"/>
        <w:ind w:left="720" w:hanging="720"/>
        <w:jc w:val="right"/>
      </w:pPr>
    </w:p>
    <w:p w14:paraId="0AA170DF" w14:textId="5B6104F0" w:rsidR="002F1162" w:rsidRDefault="38F37993" w:rsidP="003432B2">
      <w:pPr>
        <w:pStyle w:val="EITUM"/>
        <w:ind w:left="720" w:hanging="720"/>
        <w:jc w:val="right"/>
      </w:pPr>
      <w:r>
        <w:rPr>
          <w:noProof/>
        </w:rPr>
        <w:drawing>
          <wp:inline distT="0" distB="0" distL="0" distR="0" wp14:anchorId="4AE4AC8C" wp14:editId="0ABFF818">
            <wp:extent cx="6025118" cy="783071"/>
            <wp:effectExtent l="0" t="0" r="0" b="0"/>
            <wp:docPr id="93468005" name="Picture 93468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025118" cy="783071"/>
                    </a:xfrm>
                    <a:prstGeom prst="rect">
                      <a:avLst/>
                    </a:prstGeom>
                  </pic:spPr>
                </pic:pic>
              </a:graphicData>
            </a:graphic>
          </wp:inline>
        </w:drawing>
      </w:r>
    </w:p>
    <w:p w14:paraId="6ABF6CB4" w14:textId="33164925" w:rsidR="613C8D78" w:rsidRDefault="613C8D78" w:rsidP="613C8D78">
      <w:pPr>
        <w:pStyle w:val="EITUM"/>
      </w:pPr>
    </w:p>
    <w:p w14:paraId="1C62C414" w14:textId="77777777" w:rsidR="002F1162" w:rsidRPr="00E15E69" w:rsidRDefault="002F1162" w:rsidP="613C8D78">
      <w:pPr>
        <w:pStyle w:val="EITUM"/>
        <w:ind w:hanging="131"/>
      </w:pPr>
      <w:r>
        <w:t>Request for Proposals</w:t>
      </w:r>
    </w:p>
    <w:p w14:paraId="21EE319E" w14:textId="436B9032" w:rsidR="00B91DF4" w:rsidRDefault="00D7183B" w:rsidP="00B91DF4">
      <w:pPr>
        <w:pStyle w:val="BulletLevel1"/>
        <w:numPr>
          <w:ilvl w:val="0"/>
          <w:numId w:val="0"/>
        </w:numPr>
        <w:rPr>
          <w:rFonts w:cs="Calibri Light"/>
          <w:b/>
          <w:bCs/>
          <w:sz w:val="32"/>
          <w:szCs w:val="32"/>
        </w:rPr>
      </w:pPr>
      <w:r w:rsidRPr="00D7183B">
        <w:rPr>
          <w:rFonts w:cs="Calibri Light"/>
          <w:b/>
          <w:bCs/>
          <w:sz w:val="32"/>
          <w:szCs w:val="32"/>
        </w:rPr>
        <w:t>EIT Community Officer of the EIT Community Hub in Bulgaria</w:t>
      </w:r>
    </w:p>
    <w:p w14:paraId="18E1ACDD" w14:textId="77777777" w:rsidR="00AB4CC1" w:rsidRPr="00E15E69" w:rsidRDefault="00AB4CC1" w:rsidP="00B91DF4">
      <w:pPr>
        <w:pStyle w:val="BulletLevel1"/>
        <w:numPr>
          <w:ilvl w:val="0"/>
          <w:numId w:val="0"/>
        </w:numPr>
      </w:pPr>
    </w:p>
    <w:p w14:paraId="51377B8C" w14:textId="77777777" w:rsidR="002F1162" w:rsidRPr="0008053D" w:rsidRDefault="002F1162" w:rsidP="002F1162">
      <w:pPr>
        <w:rPr>
          <w:rFonts w:cs="Calibri Light"/>
          <w:b/>
          <w:sz w:val="28"/>
          <w:szCs w:val="28"/>
        </w:rPr>
      </w:pPr>
      <w:r w:rsidRPr="613C8D78">
        <w:rPr>
          <w:rFonts w:cs="Calibri Light"/>
          <w:b/>
          <w:bCs/>
          <w:sz w:val="28"/>
          <w:szCs w:val="28"/>
        </w:rPr>
        <w:t>EIT Urban Mobility - Mobility for more liveable urban spaces</w:t>
      </w:r>
    </w:p>
    <w:p w14:paraId="490223A6" w14:textId="513444E1" w:rsidR="613C8D78" w:rsidRDefault="613C8D78" w:rsidP="613C8D78">
      <w:pPr>
        <w:spacing w:after="120" w:line="240" w:lineRule="auto"/>
        <w:rPr>
          <w:b/>
          <w:bCs/>
          <w:color w:val="034EA2" w:themeColor="text2"/>
          <w:sz w:val="24"/>
          <w:szCs w:val="24"/>
          <w:lang w:val="en-US"/>
        </w:rPr>
      </w:pPr>
    </w:p>
    <w:p w14:paraId="76F30001" w14:textId="669D4604" w:rsidR="613C8D78" w:rsidRDefault="613C8D78" w:rsidP="613C8D78">
      <w:pPr>
        <w:spacing w:after="120" w:line="240" w:lineRule="auto"/>
        <w:rPr>
          <w:b/>
          <w:bCs/>
          <w:color w:val="034EA2" w:themeColor="text2"/>
          <w:sz w:val="24"/>
          <w:szCs w:val="24"/>
          <w:lang w:val="en-US"/>
        </w:rPr>
      </w:pPr>
    </w:p>
    <w:p w14:paraId="7DDA7E15" w14:textId="77777777" w:rsidR="002F1162" w:rsidRPr="00D15240" w:rsidRDefault="002F1162" w:rsidP="002F1162">
      <w:pPr>
        <w:spacing w:after="120" w:line="240" w:lineRule="auto"/>
        <w:rPr>
          <w:b/>
          <w:bCs/>
          <w:color w:val="034EA2" w:themeColor="text2"/>
          <w:sz w:val="24"/>
          <w:szCs w:val="28"/>
          <w:lang w:val="en-US"/>
        </w:rPr>
      </w:pPr>
      <w:r w:rsidRPr="00D15240">
        <w:rPr>
          <w:b/>
          <w:bCs/>
          <w:color w:val="034EA2" w:themeColor="text2"/>
          <w:sz w:val="24"/>
          <w:szCs w:val="28"/>
          <w:lang w:val="en-US"/>
        </w:rPr>
        <w:t>EIT Urban Mobility KIC LE (“Contracting Authority” or “CA”</w:t>
      </w:r>
      <w:r>
        <w:rPr>
          <w:b/>
          <w:bCs/>
          <w:color w:val="034EA2" w:themeColor="text2"/>
          <w:sz w:val="24"/>
          <w:szCs w:val="28"/>
          <w:lang w:val="en-US"/>
        </w:rPr>
        <w:t>)</w:t>
      </w:r>
    </w:p>
    <w:p w14:paraId="4223D461" w14:textId="56E08B03" w:rsidR="002F1162" w:rsidRPr="003D724B" w:rsidRDefault="002B0A61" w:rsidP="002F1162">
      <w:pPr>
        <w:spacing w:after="120" w:line="240" w:lineRule="auto"/>
        <w:rPr>
          <w:b/>
          <w:bCs/>
          <w:color w:val="034EA2" w:themeColor="text2"/>
          <w:sz w:val="24"/>
          <w:szCs w:val="28"/>
          <w:lang w:val="pt-PT"/>
        </w:rPr>
      </w:pPr>
      <w:proofErr w:type="spellStart"/>
      <w:r w:rsidRPr="003D724B">
        <w:rPr>
          <w:b/>
          <w:bCs/>
          <w:color w:val="034EA2" w:themeColor="text2"/>
          <w:sz w:val="24"/>
          <w:szCs w:val="28"/>
          <w:lang w:val="pt-PT"/>
        </w:rPr>
        <w:t>Carrer</w:t>
      </w:r>
      <w:proofErr w:type="spellEnd"/>
      <w:r w:rsidRPr="003D724B">
        <w:rPr>
          <w:b/>
          <w:bCs/>
          <w:color w:val="034EA2" w:themeColor="text2"/>
          <w:sz w:val="24"/>
          <w:szCs w:val="28"/>
          <w:lang w:val="pt-PT"/>
        </w:rPr>
        <w:t xml:space="preserve"> de Pamplona</w:t>
      </w:r>
      <w:r w:rsidR="00877AD1" w:rsidRPr="003D724B">
        <w:rPr>
          <w:b/>
          <w:bCs/>
          <w:color w:val="034EA2" w:themeColor="text2"/>
          <w:sz w:val="24"/>
          <w:szCs w:val="28"/>
          <w:lang w:val="pt-PT"/>
        </w:rPr>
        <w:t>,</w:t>
      </w:r>
      <w:r w:rsidRPr="003D724B">
        <w:rPr>
          <w:b/>
          <w:bCs/>
          <w:color w:val="034EA2" w:themeColor="text2"/>
          <w:sz w:val="24"/>
          <w:szCs w:val="28"/>
          <w:lang w:val="pt-PT"/>
        </w:rPr>
        <w:t xml:space="preserve"> 104</w:t>
      </w:r>
    </w:p>
    <w:p w14:paraId="739764AD" w14:textId="77777777" w:rsidR="002F1162" w:rsidRPr="003D724B" w:rsidRDefault="002F1162" w:rsidP="002F1162">
      <w:pPr>
        <w:spacing w:after="120" w:line="240" w:lineRule="auto"/>
        <w:rPr>
          <w:b/>
          <w:bCs/>
          <w:color w:val="034EA2" w:themeColor="text2"/>
          <w:sz w:val="24"/>
          <w:szCs w:val="28"/>
          <w:lang w:val="pt-PT"/>
        </w:rPr>
      </w:pPr>
      <w:r w:rsidRPr="003D724B">
        <w:rPr>
          <w:b/>
          <w:bCs/>
          <w:color w:val="034EA2" w:themeColor="text2"/>
          <w:sz w:val="24"/>
          <w:szCs w:val="28"/>
          <w:lang w:val="pt-PT"/>
        </w:rPr>
        <w:t>08018 Barcelona</w:t>
      </w:r>
    </w:p>
    <w:p w14:paraId="11FE4014" w14:textId="77777777" w:rsidR="002F1162" w:rsidRPr="003D724B" w:rsidRDefault="002F1162" w:rsidP="002F1162">
      <w:pPr>
        <w:spacing w:after="120" w:line="240" w:lineRule="auto"/>
        <w:rPr>
          <w:b/>
          <w:bCs/>
          <w:color w:val="034EA2" w:themeColor="text2"/>
          <w:sz w:val="24"/>
          <w:szCs w:val="28"/>
          <w:lang w:val="pt-PT"/>
        </w:rPr>
      </w:pPr>
      <w:proofErr w:type="spellStart"/>
      <w:r w:rsidRPr="003D724B">
        <w:rPr>
          <w:b/>
          <w:bCs/>
          <w:color w:val="034EA2" w:themeColor="text2"/>
          <w:sz w:val="24"/>
          <w:szCs w:val="28"/>
          <w:lang w:val="pt-PT"/>
        </w:rPr>
        <w:t>Spain</w:t>
      </w:r>
      <w:proofErr w:type="spellEnd"/>
    </w:p>
    <w:p w14:paraId="61ED0339" w14:textId="77777777" w:rsidR="002F1162" w:rsidRPr="003D724B" w:rsidRDefault="002F1162" w:rsidP="002F1162">
      <w:pPr>
        <w:spacing w:after="120" w:line="240" w:lineRule="auto"/>
        <w:rPr>
          <w:b/>
          <w:bCs/>
          <w:color w:val="808080" w:themeColor="background1" w:themeShade="80"/>
          <w:sz w:val="24"/>
          <w:szCs w:val="28"/>
          <w:lang w:val="pt-PT"/>
        </w:rPr>
      </w:pPr>
    </w:p>
    <w:p w14:paraId="4036752C" w14:textId="1CDCE10E" w:rsidR="00D7183B" w:rsidRPr="00603F08" w:rsidRDefault="00C062F6" w:rsidP="0066346A">
      <w:pPr>
        <w:spacing w:after="120" w:line="240" w:lineRule="auto"/>
        <w:rPr>
          <w:b/>
          <w:bCs/>
          <w:color w:val="034EA2" w:themeColor="text2"/>
          <w:sz w:val="24"/>
          <w:szCs w:val="28"/>
          <w:lang w:val="pt-PT"/>
        </w:rPr>
      </w:pPr>
      <w:r w:rsidRPr="000C7B2E">
        <w:rPr>
          <w:b/>
          <w:bCs/>
          <w:color w:val="034EA2" w:themeColor="text2"/>
          <w:sz w:val="24"/>
          <w:szCs w:val="28"/>
          <w:lang w:val="pt-PT"/>
        </w:rPr>
        <w:t>26</w:t>
      </w:r>
      <w:r w:rsidR="003D724B" w:rsidRPr="000C7B2E">
        <w:rPr>
          <w:b/>
          <w:bCs/>
          <w:color w:val="034EA2" w:themeColor="text2"/>
          <w:sz w:val="24"/>
          <w:szCs w:val="28"/>
          <w:lang w:val="pt-PT"/>
        </w:rPr>
        <w:t>th</w:t>
      </w:r>
      <w:r w:rsidR="00D7183B" w:rsidRPr="000C7B2E">
        <w:rPr>
          <w:b/>
          <w:bCs/>
          <w:color w:val="034EA2" w:themeColor="text2"/>
          <w:sz w:val="24"/>
          <w:szCs w:val="28"/>
          <w:lang w:val="pt-PT"/>
        </w:rPr>
        <w:t xml:space="preserve"> </w:t>
      </w:r>
      <w:proofErr w:type="spellStart"/>
      <w:r w:rsidR="003D724B" w:rsidRPr="000C7B2E">
        <w:rPr>
          <w:b/>
          <w:bCs/>
          <w:color w:val="034EA2" w:themeColor="text2"/>
          <w:sz w:val="24"/>
          <w:szCs w:val="28"/>
          <w:lang w:val="pt-PT"/>
        </w:rPr>
        <w:t>August</w:t>
      </w:r>
      <w:proofErr w:type="spellEnd"/>
      <w:r w:rsidR="00D7183B" w:rsidRPr="000C7B2E">
        <w:rPr>
          <w:b/>
          <w:bCs/>
          <w:color w:val="034EA2" w:themeColor="text2"/>
          <w:sz w:val="24"/>
          <w:szCs w:val="28"/>
          <w:lang w:val="pt-PT"/>
        </w:rPr>
        <w:t xml:space="preserve"> 2025</w:t>
      </w:r>
    </w:p>
    <w:p w14:paraId="065EA31F" w14:textId="3E95A00E" w:rsidR="613C8D78" w:rsidRPr="003D724B" w:rsidRDefault="613C8D78" w:rsidP="613C8D78">
      <w:pPr>
        <w:rPr>
          <w:b/>
          <w:bCs/>
          <w:color w:val="034EA2" w:themeColor="text2"/>
          <w:sz w:val="24"/>
          <w:szCs w:val="24"/>
          <w:highlight w:val="yellow"/>
          <w:lang w:val="pt-PT"/>
        </w:rPr>
      </w:pPr>
    </w:p>
    <w:p w14:paraId="1C5815A6" w14:textId="4AE7D4EE" w:rsidR="009B7C66" w:rsidRPr="003D724B" w:rsidRDefault="002F1162" w:rsidP="00204712">
      <w:pPr>
        <w:tabs>
          <w:tab w:val="left" w:pos="5560"/>
        </w:tabs>
        <w:spacing w:after="360"/>
        <w:rPr>
          <w:rStyle w:val="Hyperlink"/>
          <w:b/>
          <w:sz w:val="28"/>
          <w:szCs w:val="28"/>
          <w:lang w:val="pt-PT"/>
        </w:rPr>
      </w:pPr>
      <w:hyperlink r:id="rId12" w:history="1">
        <w:r w:rsidRPr="003D724B">
          <w:rPr>
            <w:rStyle w:val="Hyperlink"/>
            <w:b/>
            <w:sz w:val="28"/>
            <w:szCs w:val="28"/>
            <w:lang w:val="pt-PT"/>
          </w:rPr>
          <w:t>eiturbanmobility.eu</w:t>
        </w:r>
      </w:hyperlink>
    </w:p>
    <w:p w14:paraId="1689A7F4" w14:textId="77777777" w:rsidR="00DB0363" w:rsidRPr="003D724B" w:rsidRDefault="00DB0363" w:rsidP="00204712">
      <w:pPr>
        <w:tabs>
          <w:tab w:val="left" w:pos="5560"/>
        </w:tabs>
        <w:spacing w:after="360"/>
        <w:rPr>
          <w:color w:val="FF0000"/>
          <w:lang w:val="pt-PT"/>
        </w:rPr>
      </w:pPr>
    </w:p>
    <w:p w14:paraId="3A65D288" w14:textId="77777777" w:rsidR="00DB0363" w:rsidRPr="003D724B" w:rsidRDefault="0005274A" w:rsidP="00DB0363">
      <w:pPr>
        <w:pStyle w:val="TOCHeading"/>
        <w:ind w:firstLine="0"/>
        <w:rPr>
          <w:lang w:val="pt-PT"/>
        </w:rPr>
      </w:pPr>
      <w:r w:rsidRPr="003D724B">
        <w:rPr>
          <w:lang w:val="pt-PT"/>
        </w:rPr>
        <w:br w:type="page"/>
      </w:r>
    </w:p>
    <w:sdt>
      <w:sdtPr>
        <w:rPr>
          <w:rFonts w:eastAsiaTheme="minorEastAsia" w:cstheme="minorBidi"/>
          <w:b/>
          <w:noProof/>
          <w:color w:val="333333" w:themeColor="text1"/>
          <w:sz w:val="20"/>
          <w:szCs w:val="20"/>
        </w:rPr>
        <w:id w:val="694982516"/>
        <w:docPartObj>
          <w:docPartGallery w:val="Table of Contents"/>
          <w:docPartUnique/>
        </w:docPartObj>
      </w:sdtPr>
      <w:sdtEndPr/>
      <w:sdtContent>
        <w:p w14:paraId="4B5ACD22" w14:textId="6423544C" w:rsidR="00DB0363" w:rsidRPr="003D724B" w:rsidRDefault="258D9B11" w:rsidP="00DB0363">
          <w:pPr>
            <w:pStyle w:val="TOCHeading"/>
            <w:ind w:firstLine="0"/>
            <w:rPr>
              <w:rStyle w:val="TitleChar"/>
              <w:lang w:val="pt-PT"/>
            </w:rPr>
          </w:pPr>
          <w:proofErr w:type="spellStart"/>
          <w:r w:rsidRPr="7295751F">
            <w:rPr>
              <w:rStyle w:val="TitleChar"/>
              <w:lang w:val="pt-PT"/>
            </w:rPr>
            <w:t>Contents</w:t>
          </w:r>
          <w:proofErr w:type="spellEnd"/>
        </w:p>
        <w:p w14:paraId="17701570" w14:textId="5C521ADA" w:rsidR="00A53768" w:rsidRDefault="00825D72">
          <w:pPr>
            <w:pStyle w:val="TOC1"/>
            <w:rPr>
              <w:rFonts w:asciiTheme="minorHAnsi" w:hAnsiTheme="minorHAnsi"/>
              <w:b w:val="0"/>
              <w:color w:val="auto"/>
              <w:kern w:val="2"/>
              <w:sz w:val="24"/>
              <w:szCs w:val="24"/>
              <w:lang w:eastAsia="en-GB"/>
              <w14:ligatures w14:val="standardContextual"/>
            </w:rPr>
          </w:pPr>
          <w:r>
            <w:fldChar w:fldCharType="begin"/>
          </w:r>
          <w:r w:rsidR="44221130">
            <w:instrText>TOC \o "1-3" \z \u \h</w:instrText>
          </w:r>
          <w:r>
            <w:fldChar w:fldCharType="separate"/>
          </w:r>
          <w:hyperlink w:anchor="_Toc206684749" w:history="1">
            <w:r w:rsidR="00A53768" w:rsidRPr="00BC4B75">
              <w:rPr>
                <w:rStyle w:val="Hyperlink"/>
              </w:rPr>
              <w:t>1.</w:t>
            </w:r>
            <w:r w:rsidR="00A53768">
              <w:rPr>
                <w:rFonts w:asciiTheme="minorHAnsi" w:hAnsiTheme="minorHAnsi"/>
                <w:b w:val="0"/>
                <w:color w:val="auto"/>
                <w:kern w:val="2"/>
                <w:sz w:val="24"/>
                <w:szCs w:val="24"/>
                <w:lang w:eastAsia="en-GB"/>
                <w14:ligatures w14:val="standardContextual"/>
              </w:rPr>
              <w:tab/>
            </w:r>
            <w:r w:rsidR="00A53768" w:rsidRPr="00BC4B75">
              <w:rPr>
                <w:rStyle w:val="Hyperlink"/>
              </w:rPr>
              <w:t>Overview</w:t>
            </w:r>
            <w:r w:rsidR="00A53768">
              <w:rPr>
                <w:webHidden/>
              </w:rPr>
              <w:tab/>
            </w:r>
            <w:r w:rsidR="00A53768">
              <w:rPr>
                <w:webHidden/>
              </w:rPr>
              <w:fldChar w:fldCharType="begin"/>
            </w:r>
            <w:r w:rsidR="00A53768">
              <w:rPr>
                <w:webHidden/>
              </w:rPr>
              <w:instrText xml:space="preserve"> PAGEREF _Toc206684749 \h </w:instrText>
            </w:r>
            <w:r w:rsidR="00A53768">
              <w:rPr>
                <w:webHidden/>
              </w:rPr>
            </w:r>
            <w:r w:rsidR="00A53768">
              <w:rPr>
                <w:webHidden/>
              </w:rPr>
              <w:fldChar w:fldCharType="separate"/>
            </w:r>
            <w:r w:rsidR="00417248">
              <w:rPr>
                <w:webHidden/>
              </w:rPr>
              <w:t>4</w:t>
            </w:r>
            <w:r w:rsidR="00A53768">
              <w:rPr>
                <w:webHidden/>
              </w:rPr>
              <w:fldChar w:fldCharType="end"/>
            </w:r>
          </w:hyperlink>
        </w:p>
        <w:p w14:paraId="41F31B5D" w14:textId="769DA4C3" w:rsidR="00A53768" w:rsidRDefault="00A53768">
          <w:pPr>
            <w:pStyle w:val="TOC1"/>
            <w:rPr>
              <w:rFonts w:asciiTheme="minorHAnsi" w:hAnsiTheme="minorHAnsi"/>
              <w:b w:val="0"/>
              <w:color w:val="auto"/>
              <w:kern w:val="2"/>
              <w:sz w:val="24"/>
              <w:szCs w:val="24"/>
              <w:lang w:eastAsia="en-GB"/>
              <w14:ligatures w14:val="standardContextual"/>
            </w:rPr>
          </w:pPr>
          <w:hyperlink w:anchor="_Toc206684750" w:history="1">
            <w:r w:rsidRPr="00BC4B75">
              <w:rPr>
                <w:rStyle w:val="Hyperlink"/>
              </w:rPr>
              <w:t>2.</w:t>
            </w:r>
            <w:r>
              <w:rPr>
                <w:rFonts w:asciiTheme="minorHAnsi" w:hAnsiTheme="minorHAnsi"/>
                <w:b w:val="0"/>
                <w:color w:val="auto"/>
                <w:kern w:val="2"/>
                <w:sz w:val="24"/>
                <w:szCs w:val="24"/>
                <w:lang w:eastAsia="en-GB"/>
                <w14:ligatures w14:val="standardContextual"/>
              </w:rPr>
              <w:tab/>
            </w:r>
            <w:r w:rsidRPr="00BC4B75">
              <w:rPr>
                <w:rStyle w:val="Hyperlink"/>
              </w:rPr>
              <w:t>General Objectives and Scope of Work</w:t>
            </w:r>
            <w:r>
              <w:rPr>
                <w:webHidden/>
              </w:rPr>
              <w:tab/>
            </w:r>
            <w:r>
              <w:rPr>
                <w:webHidden/>
              </w:rPr>
              <w:fldChar w:fldCharType="begin"/>
            </w:r>
            <w:r>
              <w:rPr>
                <w:webHidden/>
              </w:rPr>
              <w:instrText xml:space="preserve"> PAGEREF _Toc206684750 \h </w:instrText>
            </w:r>
            <w:r>
              <w:rPr>
                <w:webHidden/>
              </w:rPr>
            </w:r>
            <w:r>
              <w:rPr>
                <w:webHidden/>
              </w:rPr>
              <w:fldChar w:fldCharType="separate"/>
            </w:r>
            <w:r w:rsidR="00417248">
              <w:rPr>
                <w:webHidden/>
              </w:rPr>
              <w:t>5</w:t>
            </w:r>
            <w:r>
              <w:rPr>
                <w:webHidden/>
              </w:rPr>
              <w:fldChar w:fldCharType="end"/>
            </w:r>
          </w:hyperlink>
        </w:p>
        <w:p w14:paraId="266DA909" w14:textId="1B08CF86" w:rsidR="00A53768" w:rsidRDefault="00A53768">
          <w:pPr>
            <w:pStyle w:val="TOC2"/>
            <w:rPr>
              <w:rFonts w:asciiTheme="minorHAnsi" w:hAnsiTheme="minorHAnsi"/>
              <w:color w:val="auto"/>
              <w:kern w:val="2"/>
              <w:sz w:val="24"/>
              <w:szCs w:val="24"/>
              <w:lang w:eastAsia="en-GB"/>
              <w14:ligatures w14:val="standardContextual"/>
            </w:rPr>
          </w:pPr>
          <w:hyperlink w:anchor="_Toc206684751" w:history="1">
            <w:r w:rsidRPr="00BC4B75">
              <w:rPr>
                <w:rStyle w:val="Hyperlink"/>
                <w:rFonts w:eastAsia="Times New Roman" w:cs="Calibri Light"/>
                <w:lang w:eastAsia="sv-SE"/>
              </w:rPr>
              <w:t>2.1 General objectives</w:t>
            </w:r>
            <w:r>
              <w:rPr>
                <w:webHidden/>
              </w:rPr>
              <w:tab/>
            </w:r>
            <w:r>
              <w:rPr>
                <w:webHidden/>
              </w:rPr>
              <w:fldChar w:fldCharType="begin"/>
            </w:r>
            <w:r>
              <w:rPr>
                <w:webHidden/>
              </w:rPr>
              <w:instrText xml:space="preserve"> PAGEREF _Toc206684751 \h </w:instrText>
            </w:r>
            <w:r>
              <w:rPr>
                <w:webHidden/>
              </w:rPr>
            </w:r>
            <w:r>
              <w:rPr>
                <w:webHidden/>
              </w:rPr>
              <w:fldChar w:fldCharType="separate"/>
            </w:r>
            <w:r w:rsidR="00417248">
              <w:rPr>
                <w:webHidden/>
              </w:rPr>
              <w:t>5</w:t>
            </w:r>
            <w:r>
              <w:rPr>
                <w:webHidden/>
              </w:rPr>
              <w:fldChar w:fldCharType="end"/>
            </w:r>
          </w:hyperlink>
        </w:p>
        <w:p w14:paraId="57FA8779" w14:textId="03A4AE74" w:rsidR="00A53768" w:rsidRDefault="00A53768">
          <w:pPr>
            <w:pStyle w:val="TOC2"/>
            <w:rPr>
              <w:rFonts w:asciiTheme="minorHAnsi" w:hAnsiTheme="minorHAnsi"/>
              <w:color w:val="auto"/>
              <w:kern w:val="2"/>
              <w:sz w:val="24"/>
              <w:szCs w:val="24"/>
              <w:lang w:eastAsia="en-GB"/>
              <w14:ligatures w14:val="standardContextual"/>
            </w:rPr>
          </w:pPr>
          <w:hyperlink w:anchor="_Toc206684752" w:history="1">
            <w:r w:rsidRPr="00BC4B75">
              <w:rPr>
                <w:rStyle w:val="Hyperlink"/>
                <w:rFonts w:eastAsia="Times New Roman" w:cs="Calibri Light"/>
                <w:lang w:eastAsia="sv-SE"/>
              </w:rPr>
              <w:t>2.2 Detailed scope of work</w:t>
            </w:r>
            <w:r>
              <w:rPr>
                <w:webHidden/>
              </w:rPr>
              <w:tab/>
            </w:r>
            <w:r>
              <w:rPr>
                <w:webHidden/>
              </w:rPr>
              <w:fldChar w:fldCharType="begin"/>
            </w:r>
            <w:r>
              <w:rPr>
                <w:webHidden/>
              </w:rPr>
              <w:instrText xml:space="preserve"> PAGEREF _Toc206684752 \h </w:instrText>
            </w:r>
            <w:r>
              <w:rPr>
                <w:webHidden/>
              </w:rPr>
            </w:r>
            <w:r>
              <w:rPr>
                <w:webHidden/>
              </w:rPr>
              <w:fldChar w:fldCharType="separate"/>
            </w:r>
            <w:r w:rsidR="00417248">
              <w:rPr>
                <w:webHidden/>
              </w:rPr>
              <w:t>6</w:t>
            </w:r>
            <w:r>
              <w:rPr>
                <w:webHidden/>
              </w:rPr>
              <w:fldChar w:fldCharType="end"/>
            </w:r>
          </w:hyperlink>
        </w:p>
        <w:p w14:paraId="412C188E" w14:textId="2C047FD3" w:rsidR="00A53768" w:rsidRDefault="00A53768">
          <w:pPr>
            <w:pStyle w:val="TOC2"/>
            <w:rPr>
              <w:rFonts w:asciiTheme="minorHAnsi" w:hAnsiTheme="minorHAnsi"/>
              <w:color w:val="auto"/>
              <w:kern w:val="2"/>
              <w:sz w:val="24"/>
              <w:szCs w:val="24"/>
              <w:lang w:eastAsia="en-GB"/>
              <w14:ligatures w14:val="standardContextual"/>
            </w:rPr>
          </w:pPr>
          <w:hyperlink w:anchor="_Toc206684753" w:history="1">
            <w:r w:rsidRPr="00BC4B75">
              <w:rPr>
                <w:rStyle w:val="Hyperlink"/>
                <w:rFonts w:eastAsia="Times New Roman" w:cs="Calibri Light"/>
                <w:lang w:eastAsia="sv-SE"/>
              </w:rPr>
              <w:t>2.3. Location, timing, planning and reporting.</w:t>
            </w:r>
            <w:r>
              <w:rPr>
                <w:webHidden/>
              </w:rPr>
              <w:tab/>
            </w:r>
            <w:r>
              <w:rPr>
                <w:webHidden/>
              </w:rPr>
              <w:fldChar w:fldCharType="begin"/>
            </w:r>
            <w:r>
              <w:rPr>
                <w:webHidden/>
              </w:rPr>
              <w:instrText xml:space="preserve"> PAGEREF _Toc206684753 \h </w:instrText>
            </w:r>
            <w:r>
              <w:rPr>
                <w:webHidden/>
              </w:rPr>
            </w:r>
            <w:r>
              <w:rPr>
                <w:webHidden/>
              </w:rPr>
              <w:fldChar w:fldCharType="separate"/>
            </w:r>
            <w:r w:rsidR="00417248">
              <w:rPr>
                <w:webHidden/>
              </w:rPr>
              <w:t>7</w:t>
            </w:r>
            <w:r>
              <w:rPr>
                <w:webHidden/>
              </w:rPr>
              <w:fldChar w:fldCharType="end"/>
            </w:r>
          </w:hyperlink>
        </w:p>
        <w:p w14:paraId="53B6D321" w14:textId="368760C4" w:rsidR="00A53768" w:rsidRDefault="00A53768">
          <w:pPr>
            <w:pStyle w:val="TOC2"/>
            <w:rPr>
              <w:rFonts w:asciiTheme="minorHAnsi" w:hAnsiTheme="minorHAnsi"/>
              <w:color w:val="auto"/>
              <w:kern w:val="2"/>
              <w:sz w:val="24"/>
              <w:szCs w:val="24"/>
              <w:lang w:eastAsia="en-GB"/>
              <w14:ligatures w14:val="standardContextual"/>
            </w:rPr>
          </w:pPr>
          <w:hyperlink w:anchor="_Toc206684754" w:history="1">
            <w:r w:rsidRPr="00BC4B75">
              <w:rPr>
                <w:rStyle w:val="Hyperlink"/>
                <w:rFonts w:eastAsia="Times New Roman" w:cs="Calibri Light"/>
                <w:lang w:eastAsia="sv-SE"/>
              </w:rPr>
              <w:t>2.4 Methodology of work</w:t>
            </w:r>
            <w:r>
              <w:rPr>
                <w:webHidden/>
              </w:rPr>
              <w:tab/>
            </w:r>
            <w:r>
              <w:rPr>
                <w:webHidden/>
              </w:rPr>
              <w:fldChar w:fldCharType="begin"/>
            </w:r>
            <w:r>
              <w:rPr>
                <w:webHidden/>
              </w:rPr>
              <w:instrText xml:space="preserve"> PAGEREF _Toc206684754 \h </w:instrText>
            </w:r>
            <w:r>
              <w:rPr>
                <w:webHidden/>
              </w:rPr>
            </w:r>
            <w:r>
              <w:rPr>
                <w:webHidden/>
              </w:rPr>
              <w:fldChar w:fldCharType="separate"/>
            </w:r>
            <w:r w:rsidR="00417248">
              <w:rPr>
                <w:webHidden/>
              </w:rPr>
              <w:t>9</w:t>
            </w:r>
            <w:r>
              <w:rPr>
                <w:webHidden/>
              </w:rPr>
              <w:fldChar w:fldCharType="end"/>
            </w:r>
          </w:hyperlink>
        </w:p>
        <w:p w14:paraId="27CE8722" w14:textId="1DACC7B3" w:rsidR="00A53768" w:rsidRDefault="00A53768">
          <w:pPr>
            <w:pStyle w:val="TOC2"/>
            <w:rPr>
              <w:rFonts w:asciiTheme="minorHAnsi" w:hAnsiTheme="minorHAnsi"/>
              <w:color w:val="auto"/>
              <w:kern w:val="2"/>
              <w:sz w:val="24"/>
              <w:szCs w:val="24"/>
              <w:lang w:eastAsia="en-GB"/>
              <w14:ligatures w14:val="standardContextual"/>
            </w:rPr>
          </w:pPr>
          <w:hyperlink w:anchor="_Toc206684755" w:history="1">
            <w:r w:rsidRPr="00BC4B75">
              <w:rPr>
                <w:rStyle w:val="Hyperlink"/>
                <w:rFonts w:eastAsia="Times New Roman" w:cs="Calibri Light"/>
                <w:lang w:eastAsia="sv-SE"/>
              </w:rPr>
              <w:t>2.5 Deliverables</w:t>
            </w:r>
            <w:r>
              <w:rPr>
                <w:webHidden/>
              </w:rPr>
              <w:tab/>
            </w:r>
            <w:r>
              <w:rPr>
                <w:webHidden/>
              </w:rPr>
              <w:fldChar w:fldCharType="begin"/>
            </w:r>
            <w:r>
              <w:rPr>
                <w:webHidden/>
              </w:rPr>
              <w:instrText xml:space="preserve"> PAGEREF _Toc206684755 \h </w:instrText>
            </w:r>
            <w:r>
              <w:rPr>
                <w:webHidden/>
              </w:rPr>
            </w:r>
            <w:r>
              <w:rPr>
                <w:webHidden/>
              </w:rPr>
              <w:fldChar w:fldCharType="separate"/>
            </w:r>
            <w:r w:rsidR="00417248">
              <w:rPr>
                <w:webHidden/>
              </w:rPr>
              <w:t>9</w:t>
            </w:r>
            <w:r>
              <w:rPr>
                <w:webHidden/>
              </w:rPr>
              <w:fldChar w:fldCharType="end"/>
            </w:r>
          </w:hyperlink>
        </w:p>
        <w:p w14:paraId="3922FDA4" w14:textId="2D79ED71" w:rsidR="00A53768" w:rsidRDefault="00A53768">
          <w:pPr>
            <w:pStyle w:val="TOC1"/>
            <w:rPr>
              <w:rFonts w:asciiTheme="minorHAnsi" w:hAnsiTheme="minorHAnsi"/>
              <w:b w:val="0"/>
              <w:color w:val="auto"/>
              <w:kern w:val="2"/>
              <w:sz w:val="24"/>
              <w:szCs w:val="24"/>
              <w:lang w:eastAsia="en-GB"/>
              <w14:ligatures w14:val="standardContextual"/>
            </w:rPr>
          </w:pPr>
          <w:hyperlink w:anchor="_Toc206684756" w:history="1">
            <w:r w:rsidRPr="00BC4B75">
              <w:rPr>
                <w:rStyle w:val="Hyperlink"/>
              </w:rPr>
              <w:t>3.</w:t>
            </w:r>
            <w:r>
              <w:rPr>
                <w:rFonts w:asciiTheme="minorHAnsi" w:hAnsiTheme="minorHAnsi"/>
                <w:b w:val="0"/>
                <w:color w:val="auto"/>
                <w:kern w:val="2"/>
                <w:sz w:val="24"/>
                <w:szCs w:val="24"/>
                <w:lang w:eastAsia="en-GB"/>
                <w14:ligatures w14:val="standardContextual"/>
              </w:rPr>
              <w:tab/>
            </w:r>
            <w:r w:rsidRPr="00BC4B75">
              <w:rPr>
                <w:rStyle w:val="Hyperlink"/>
              </w:rPr>
              <w:t>Proposal Process</w:t>
            </w:r>
            <w:r>
              <w:rPr>
                <w:webHidden/>
              </w:rPr>
              <w:tab/>
            </w:r>
            <w:r>
              <w:rPr>
                <w:webHidden/>
              </w:rPr>
              <w:fldChar w:fldCharType="begin"/>
            </w:r>
            <w:r>
              <w:rPr>
                <w:webHidden/>
              </w:rPr>
              <w:instrText xml:space="preserve"> PAGEREF _Toc206684756 \h </w:instrText>
            </w:r>
            <w:r>
              <w:rPr>
                <w:webHidden/>
              </w:rPr>
            </w:r>
            <w:r>
              <w:rPr>
                <w:webHidden/>
              </w:rPr>
              <w:fldChar w:fldCharType="separate"/>
            </w:r>
            <w:r w:rsidR="00417248">
              <w:rPr>
                <w:webHidden/>
              </w:rPr>
              <w:t>11</w:t>
            </w:r>
            <w:r>
              <w:rPr>
                <w:webHidden/>
              </w:rPr>
              <w:fldChar w:fldCharType="end"/>
            </w:r>
          </w:hyperlink>
        </w:p>
        <w:p w14:paraId="0E6951B3" w14:textId="69FD952C" w:rsidR="00A53768" w:rsidRDefault="00A53768">
          <w:pPr>
            <w:pStyle w:val="TOC2"/>
            <w:rPr>
              <w:rFonts w:asciiTheme="minorHAnsi" w:hAnsiTheme="minorHAnsi"/>
              <w:color w:val="auto"/>
              <w:kern w:val="2"/>
              <w:sz w:val="24"/>
              <w:szCs w:val="24"/>
              <w:lang w:eastAsia="en-GB"/>
              <w14:ligatures w14:val="standardContextual"/>
            </w:rPr>
          </w:pPr>
          <w:hyperlink w:anchor="_Toc206684757" w:history="1">
            <w:r w:rsidRPr="00BC4B75">
              <w:rPr>
                <w:rStyle w:val="Hyperlink"/>
                <w:rFonts w:eastAsia="Times New Roman" w:cs="Calibri Light"/>
                <w:lang w:eastAsia="sv-SE"/>
              </w:rPr>
              <w:t>3.1. Proposal Schedule</w:t>
            </w:r>
            <w:r>
              <w:rPr>
                <w:webHidden/>
              </w:rPr>
              <w:tab/>
            </w:r>
            <w:r>
              <w:rPr>
                <w:webHidden/>
              </w:rPr>
              <w:fldChar w:fldCharType="begin"/>
            </w:r>
            <w:r>
              <w:rPr>
                <w:webHidden/>
              </w:rPr>
              <w:instrText xml:space="preserve"> PAGEREF _Toc206684757 \h </w:instrText>
            </w:r>
            <w:r>
              <w:rPr>
                <w:webHidden/>
              </w:rPr>
            </w:r>
            <w:r>
              <w:rPr>
                <w:webHidden/>
              </w:rPr>
              <w:fldChar w:fldCharType="separate"/>
            </w:r>
            <w:r w:rsidR="00417248">
              <w:rPr>
                <w:webHidden/>
              </w:rPr>
              <w:t>11</w:t>
            </w:r>
            <w:r>
              <w:rPr>
                <w:webHidden/>
              </w:rPr>
              <w:fldChar w:fldCharType="end"/>
            </w:r>
          </w:hyperlink>
        </w:p>
        <w:p w14:paraId="797000B0" w14:textId="73BAB9A9" w:rsidR="00A53768" w:rsidRDefault="00A53768">
          <w:pPr>
            <w:pStyle w:val="TOC2"/>
            <w:rPr>
              <w:rFonts w:asciiTheme="minorHAnsi" w:hAnsiTheme="minorHAnsi"/>
              <w:color w:val="auto"/>
              <w:kern w:val="2"/>
              <w:sz w:val="24"/>
              <w:szCs w:val="24"/>
              <w:lang w:eastAsia="en-GB"/>
              <w14:ligatures w14:val="standardContextual"/>
            </w:rPr>
          </w:pPr>
          <w:hyperlink w:anchor="_Toc206684758" w:history="1">
            <w:r w:rsidRPr="00BC4B75">
              <w:rPr>
                <w:rStyle w:val="Hyperlink"/>
                <w:rFonts w:eastAsia="Times New Roman" w:cs="Calibri Light"/>
                <w:lang w:eastAsia="sv-SE"/>
              </w:rPr>
              <w:t>3.2. Submission of proposal</w:t>
            </w:r>
            <w:r>
              <w:rPr>
                <w:webHidden/>
              </w:rPr>
              <w:tab/>
            </w:r>
            <w:r>
              <w:rPr>
                <w:webHidden/>
              </w:rPr>
              <w:fldChar w:fldCharType="begin"/>
            </w:r>
            <w:r>
              <w:rPr>
                <w:webHidden/>
              </w:rPr>
              <w:instrText xml:space="preserve"> PAGEREF _Toc206684758 \h </w:instrText>
            </w:r>
            <w:r>
              <w:rPr>
                <w:webHidden/>
              </w:rPr>
            </w:r>
            <w:r>
              <w:rPr>
                <w:webHidden/>
              </w:rPr>
              <w:fldChar w:fldCharType="separate"/>
            </w:r>
            <w:r w:rsidR="00417248">
              <w:rPr>
                <w:webHidden/>
              </w:rPr>
              <w:t>11</w:t>
            </w:r>
            <w:r>
              <w:rPr>
                <w:webHidden/>
              </w:rPr>
              <w:fldChar w:fldCharType="end"/>
            </w:r>
          </w:hyperlink>
        </w:p>
        <w:p w14:paraId="58D756C6" w14:textId="636A972D" w:rsidR="00A53768" w:rsidRDefault="00A53768">
          <w:pPr>
            <w:pStyle w:val="TOC2"/>
            <w:rPr>
              <w:rFonts w:asciiTheme="minorHAnsi" w:hAnsiTheme="minorHAnsi"/>
              <w:color w:val="auto"/>
              <w:kern w:val="2"/>
              <w:sz w:val="24"/>
              <w:szCs w:val="24"/>
              <w:lang w:eastAsia="en-GB"/>
              <w14:ligatures w14:val="standardContextual"/>
            </w:rPr>
          </w:pPr>
          <w:hyperlink w:anchor="_Toc206684759" w:history="1">
            <w:r w:rsidRPr="00BC4B75">
              <w:rPr>
                <w:rStyle w:val="Hyperlink"/>
                <w:rFonts w:eastAsia="Times New Roman" w:cs="Calibri Light"/>
                <w:lang w:eastAsia="sv-SE"/>
              </w:rPr>
              <w:t>3.3. Minimum requirements</w:t>
            </w:r>
            <w:r>
              <w:rPr>
                <w:webHidden/>
              </w:rPr>
              <w:tab/>
            </w:r>
            <w:r>
              <w:rPr>
                <w:webHidden/>
              </w:rPr>
              <w:fldChar w:fldCharType="begin"/>
            </w:r>
            <w:r>
              <w:rPr>
                <w:webHidden/>
              </w:rPr>
              <w:instrText xml:space="preserve"> PAGEREF _Toc206684759 \h </w:instrText>
            </w:r>
            <w:r>
              <w:rPr>
                <w:webHidden/>
              </w:rPr>
            </w:r>
            <w:r>
              <w:rPr>
                <w:webHidden/>
              </w:rPr>
              <w:fldChar w:fldCharType="separate"/>
            </w:r>
            <w:r w:rsidR="00417248">
              <w:rPr>
                <w:webHidden/>
              </w:rPr>
              <w:t>12</w:t>
            </w:r>
            <w:r>
              <w:rPr>
                <w:webHidden/>
              </w:rPr>
              <w:fldChar w:fldCharType="end"/>
            </w:r>
          </w:hyperlink>
        </w:p>
        <w:p w14:paraId="5828C710" w14:textId="4831ED75" w:rsidR="00A53768" w:rsidRDefault="00A53768">
          <w:pPr>
            <w:pStyle w:val="TOC2"/>
            <w:rPr>
              <w:rFonts w:asciiTheme="minorHAnsi" w:hAnsiTheme="minorHAnsi"/>
              <w:color w:val="auto"/>
              <w:kern w:val="2"/>
              <w:sz w:val="24"/>
              <w:szCs w:val="24"/>
              <w:lang w:eastAsia="en-GB"/>
              <w14:ligatures w14:val="standardContextual"/>
            </w:rPr>
          </w:pPr>
          <w:hyperlink w:anchor="_Toc206684760" w:history="1">
            <w:r w:rsidRPr="00BC4B75">
              <w:rPr>
                <w:rStyle w:val="Hyperlink"/>
                <w:rFonts w:eastAsia="Times New Roman" w:cs="Calibri Light"/>
                <w:lang w:eastAsia="sv-SE"/>
              </w:rPr>
              <w:t>3.4. Validity of the proposal</w:t>
            </w:r>
            <w:r>
              <w:rPr>
                <w:webHidden/>
              </w:rPr>
              <w:tab/>
            </w:r>
            <w:r>
              <w:rPr>
                <w:webHidden/>
              </w:rPr>
              <w:fldChar w:fldCharType="begin"/>
            </w:r>
            <w:r>
              <w:rPr>
                <w:webHidden/>
              </w:rPr>
              <w:instrText xml:space="preserve"> PAGEREF _Toc206684760 \h </w:instrText>
            </w:r>
            <w:r>
              <w:rPr>
                <w:webHidden/>
              </w:rPr>
            </w:r>
            <w:r>
              <w:rPr>
                <w:webHidden/>
              </w:rPr>
              <w:fldChar w:fldCharType="separate"/>
            </w:r>
            <w:r w:rsidR="00417248">
              <w:rPr>
                <w:webHidden/>
              </w:rPr>
              <w:t>13</w:t>
            </w:r>
            <w:r>
              <w:rPr>
                <w:webHidden/>
              </w:rPr>
              <w:fldChar w:fldCharType="end"/>
            </w:r>
          </w:hyperlink>
        </w:p>
        <w:p w14:paraId="2F69A88D" w14:textId="5399EAA2" w:rsidR="00A53768" w:rsidRDefault="00A53768">
          <w:pPr>
            <w:pStyle w:val="TOC2"/>
            <w:rPr>
              <w:rFonts w:asciiTheme="minorHAnsi" w:hAnsiTheme="minorHAnsi"/>
              <w:color w:val="auto"/>
              <w:kern w:val="2"/>
              <w:sz w:val="24"/>
              <w:szCs w:val="24"/>
              <w:lang w:eastAsia="en-GB"/>
              <w14:ligatures w14:val="standardContextual"/>
            </w:rPr>
          </w:pPr>
          <w:hyperlink w:anchor="_Toc206684761" w:history="1">
            <w:r w:rsidRPr="00BC4B75">
              <w:rPr>
                <w:rStyle w:val="Hyperlink"/>
                <w:rFonts w:eastAsia="Times New Roman" w:cs="Calibri Light"/>
                <w:lang w:eastAsia="sv-SE"/>
              </w:rPr>
              <w:t>3.5. Additional information before the deadline for submitting proposals</w:t>
            </w:r>
            <w:r>
              <w:rPr>
                <w:webHidden/>
              </w:rPr>
              <w:tab/>
            </w:r>
            <w:r>
              <w:rPr>
                <w:webHidden/>
              </w:rPr>
              <w:fldChar w:fldCharType="begin"/>
            </w:r>
            <w:r>
              <w:rPr>
                <w:webHidden/>
              </w:rPr>
              <w:instrText xml:space="preserve"> PAGEREF _Toc206684761 \h </w:instrText>
            </w:r>
            <w:r>
              <w:rPr>
                <w:webHidden/>
              </w:rPr>
            </w:r>
            <w:r>
              <w:rPr>
                <w:webHidden/>
              </w:rPr>
              <w:fldChar w:fldCharType="separate"/>
            </w:r>
            <w:r w:rsidR="00417248">
              <w:rPr>
                <w:webHidden/>
              </w:rPr>
              <w:t>13</w:t>
            </w:r>
            <w:r>
              <w:rPr>
                <w:webHidden/>
              </w:rPr>
              <w:fldChar w:fldCharType="end"/>
            </w:r>
          </w:hyperlink>
        </w:p>
        <w:p w14:paraId="0373E6BE" w14:textId="59546B90" w:rsidR="00A53768" w:rsidRDefault="00A53768">
          <w:pPr>
            <w:pStyle w:val="TOC2"/>
            <w:rPr>
              <w:rFonts w:asciiTheme="minorHAnsi" w:hAnsiTheme="minorHAnsi"/>
              <w:color w:val="auto"/>
              <w:kern w:val="2"/>
              <w:sz w:val="24"/>
              <w:szCs w:val="24"/>
              <w:lang w:eastAsia="en-GB"/>
              <w14:ligatures w14:val="standardContextual"/>
            </w:rPr>
          </w:pPr>
          <w:hyperlink w:anchor="_Toc206684762" w:history="1">
            <w:r w:rsidRPr="00BC4B75">
              <w:rPr>
                <w:rStyle w:val="Hyperlink"/>
                <w:rFonts w:eastAsia="Times New Roman" w:cs="Calibri Light"/>
                <w:lang w:eastAsia="sv-SE"/>
              </w:rPr>
              <w:t>3.6. Cost for preparing proposals</w:t>
            </w:r>
            <w:r>
              <w:rPr>
                <w:webHidden/>
              </w:rPr>
              <w:tab/>
            </w:r>
            <w:r>
              <w:rPr>
                <w:webHidden/>
              </w:rPr>
              <w:fldChar w:fldCharType="begin"/>
            </w:r>
            <w:r>
              <w:rPr>
                <w:webHidden/>
              </w:rPr>
              <w:instrText xml:space="preserve"> PAGEREF _Toc206684762 \h </w:instrText>
            </w:r>
            <w:r>
              <w:rPr>
                <w:webHidden/>
              </w:rPr>
            </w:r>
            <w:r>
              <w:rPr>
                <w:webHidden/>
              </w:rPr>
              <w:fldChar w:fldCharType="separate"/>
            </w:r>
            <w:r w:rsidR="00417248">
              <w:rPr>
                <w:webHidden/>
              </w:rPr>
              <w:t>13</w:t>
            </w:r>
            <w:r>
              <w:rPr>
                <w:webHidden/>
              </w:rPr>
              <w:fldChar w:fldCharType="end"/>
            </w:r>
          </w:hyperlink>
        </w:p>
        <w:p w14:paraId="1067BF5F" w14:textId="5EAB3D47" w:rsidR="00A53768" w:rsidRDefault="00A53768">
          <w:pPr>
            <w:pStyle w:val="TOC2"/>
            <w:rPr>
              <w:rFonts w:asciiTheme="minorHAnsi" w:hAnsiTheme="minorHAnsi"/>
              <w:color w:val="auto"/>
              <w:kern w:val="2"/>
              <w:sz w:val="24"/>
              <w:szCs w:val="24"/>
              <w:lang w:eastAsia="en-GB"/>
              <w14:ligatures w14:val="standardContextual"/>
            </w:rPr>
          </w:pPr>
          <w:hyperlink w:anchor="_Toc206684763" w:history="1">
            <w:r w:rsidRPr="00BC4B75">
              <w:rPr>
                <w:rStyle w:val="Hyperlink"/>
                <w:rFonts w:eastAsia="Times New Roman" w:cs="Calibri Light"/>
                <w:lang w:eastAsia="sv-SE"/>
              </w:rPr>
              <w:t>3.7. Ownership and confidentiality of proposals</w:t>
            </w:r>
            <w:r>
              <w:rPr>
                <w:webHidden/>
              </w:rPr>
              <w:tab/>
            </w:r>
            <w:r>
              <w:rPr>
                <w:webHidden/>
              </w:rPr>
              <w:fldChar w:fldCharType="begin"/>
            </w:r>
            <w:r>
              <w:rPr>
                <w:webHidden/>
              </w:rPr>
              <w:instrText xml:space="preserve"> PAGEREF _Toc206684763 \h </w:instrText>
            </w:r>
            <w:r>
              <w:rPr>
                <w:webHidden/>
              </w:rPr>
            </w:r>
            <w:r>
              <w:rPr>
                <w:webHidden/>
              </w:rPr>
              <w:fldChar w:fldCharType="separate"/>
            </w:r>
            <w:r w:rsidR="00417248">
              <w:rPr>
                <w:webHidden/>
              </w:rPr>
              <w:t>13</w:t>
            </w:r>
            <w:r>
              <w:rPr>
                <w:webHidden/>
              </w:rPr>
              <w:fldChar w:fldCharType="end"/>
            </w:r>
          </w:hyperlink>
        </w:p>
        <w:p w14:paraId="772569C3" w14:textId="34D6AE15" w:rsidR="00A53768" w:rsidRDefault="00A53768">
          <w:pPr>
            <w:pStyle w:val="TOC2"/>
            <w:rPr>
              <w:rFonts w:asciiTheme="minorHAnsi" w:hAnsiTheme="minorHAnsi"/>
              <w:color w:val="auto"/>
              <w:kern w:val="2"/>
              <w:sz w:val="24"/>
              <w:szCs w:val="24"/>
              <w:lang w:eastAsia="en-GB"/>
              <w14:ligatures w14:val="standardContextual"/>
            </w:rPr>
          </w:pPr>
          <w:hyperlink w:anchor="_Toc206684764" w:history="1">
            <w:r w:rsidRPr="00BC4B75">
              <w:rPr>
                <w:rStyle w:val="Hyperlink"/>
                <w:rFonts w:eastAsia="Times New Roman" w:cs="Calibri Light"/>
                <w:lang w:eastAsia="sv-SE"/>
              </w:rPr>
              <w:t>3.8. Clarification related proposals</w:t>
            </w:r>
            <w:r>
              <w:rPr>
                <w:webHidden/>
              </w:rPr>
              <w:tab/>
            </w:r>
            <w:r>
              <w:rPr>
                <w:webHidden/>
              </w:rPr>
              <w:fldChar w:fldCharType="begin"/>
            </w:r>
            <w:r>
              <w:rPr>
                <w:webHidden/>
              </w:rPr>
              <w:instrText xml:space="preserve"> PAGEREF _Toc206684764 \h </w:instrText>
            </w:r>
            <w:r>
              <w:rPr>
                <w:webHidden/>
              </w:rPr>
            </w:r>
            <w:r>
              <w:rPr>
                <w:webHidden/>
              </w:rPr>
              <w:fldChar w:fldCharType="separate"/>
            </w:r>
            <w:r w:rsidR="00417248">
              <w:rPr>
                <w:webHidden/>
              </w:rPr>
              <w:t>13</w:t>
            </w:r>
            <w:r>
              <w:rPr>
                <w:webHidden/>
              </w:rPr>
              <w:fldChar w:fldCharType="end"/>
            </w:r>
          </w:hyperlink>
        </w:p>
        <w:p w14:paraId="71575E44" w14:textId="1AFE4317" w:rsidR="00A53768" w:rsidRDefault="00A53768">
          <w:pPr>
            <w:pStyle w:val="TOC1"/>
            <w:rPr>
              <w:rFonts w:asciiTheme="minorHAnsi" w:hAnsiTheme="minorHAnsi"/>
              <w:b w:val="0"/>
              <w:color w:val="auto"/>
              <w:kern w:val="2"/>
              <w:sz w:val="24"/>
              <w:szCs w:val="24"/>
              <w:lang w:eastAsia="en-GB"/>
              <w14:ligatures w14:val="standardContextual"/>
            </w:rPr>
          </w:pPr>
          <w:hyperlink w:anchor="_Toc206684765" w:history="1">
            <w:r w:rsidRPr="00BC4B75">
              <w:rPr>
                <w:rStyle w:val="Hyperlink"/>
              </w:rPr>
              <w:t>4.</w:t>
            </w:r>
            <w:r>
              <w:rPr>
                <w:rFonts w:asciiTheme="minorHAnsi" w:hAnsiTheme="minorHAnsi"/>
                <w:b w:val="0"/>
                <w:color w:val="auto"/>
                <w:kern w:val="2"/>
                <w:sz w:val="24"/>
                <w:szCs w:val="24"/>
                <w:lang w:eastAsia="en-GB"/>
                <w14:ligatures w14:val="standardContextual"/>
              </w:rPr>
              <w:tab/>
            </w:r>
            <w:r w:rsidRPr="00BC4B75">
              <w:rPr>
                <w:rStyle w:val="Hyperlink"/>
              </w:rPr>
              <w:t>Evaluation of proposals</w:t>
            </w:r>
            <w:r>
              <w:rPr>
                <w:webHidden/>
              </w:rPr>
              <w:tab/>
            </w:r>
            <w:r>
              <w:rPr>
                <w:webHidden/>
              </w:rPr>
              <w:fldChar w:fldCharType="begin"/>
            </w:r>
            <w:r>
              <w:rPr>
                <w:webHidden/>
              </w:rPr>
              <w:instrText xml:space="preserve"> PAGEREF _Toc206684765 \h </w:instrText>
            </w:r>
            <w:r>
              <w:rPr>
                <w:webHidden/>
              </w:rPr>
            </w:r>
            <w:r>
              <w:rPr>
                <w:webHidden/>
              </w:rPr>
              <w:fldChar w:fldCharType="separate"/>
            </w:r>
            <w:r w:rsidR="00417248">
              <w:rPr>
                <w:webHidden/>
              </w:rPr>
              <w:t>14</w:t>
            </w:r>
            <w:r>
              <w:rPr>
                <w:webHidden/>
              </w:rPr>
              <w:fldChar w:fldCharType="end"/>
            </w:r>
          </w:hyperlink>
        </w:p>
        <w:p w14:paraId="3FC83D6E" w14:textId="3D42964D" w:rsidR="00A53768" w:rsidRDefault="00A53768">
          <w:pPr>
            <w:pStyle w:val="TOC2"/>
            <w:rPr>
              <w:rFonts w:asciiTheme="minorHAnsi" w:hAnsiTheme="minorHAnsi"/>
              <w:color w:val="auto"/>
              <w:kern w:val="2"/>
              <w:sz w:val="24"/>
              <w:szCs w:val="24"/>
              <w:lang w:eastAsia="en-GB"/>
              <w14:ligatures w14:val="standardContextual"/>
            </w:rPr>
          </w:pPr>
          <w:hyperlink w:anchor="_Toc206684766" w:history="1">
            <w:r w:rsidRPr="00BC4B75">
              <w:rPr>
                <w:rStyle w:val="Hyperlink"/>
                <w:rFonts w:eastAsia="Times New Roman" w:cs="Calibri Light"/>
                <w:lang w:eastAsia="sv-SE"/>
              </w:rPr>
              <w:t>4.1. Exclusion criteria</w:t>
            </w:r>
            <w:r>
              <w:rPr>
                <w:webHidden/>
              </w:rPr>
              <w:tab/>
            </w:r>
            <w:r>
              <w:rPr>
                <w:webHidden/>
              </w:rPr>
              <w:fldChar w:fldCharType="begin"/>
            </w:r>
            <w:r>
              <w:rPr>
                <w:webHidden/>
              </w:rPr>
              <w:instrText xml:space="preserve"> PAGEREF _Toc206684766 \h </w:instrText>
            </w:r>
            <w:r>
              <w:rPr>
                <w:webHidden/>
              </w:rPr>
            </w:r>
            <w:r>
              <w:rPr>
                <w:webHidden/>
              </w:rPr>
              <w:fldChar w:fldCharType="separate"/>
            </w:r>
            <w:r w:rsidR="00417248">
              <w:rPr>
                <w:webHidden/>
              </w:rPr>
              <w:t>14</w:t>
            </w:r>
            <w:r>
              <w:rPr>
                <w:webHidden/>
              </w:rPr>
              <w:fldChar w:fldCharType="end"/>
            </w:r>
          </w:hyperlink>
        </w:p>
        <w:p w14:paraId="7FE97FFF" w14:textId="3A5E8129" w:rsidR="00A53768" w:rsidRDefault="00A53768">
          <w:pPr>
            <w:pStyle w:val="TOC2"/>
            <w:rPr>
              <w:rFonts w:asciiTheme="minorHAnsi" w:hAnsiTheme="minorHAnsi"/>
              <w:color w:val="auto"/>
              <w:kern w:val="2"/>
              <w:sz w:val="24"/>
              <w:szCs w:val="24"/>
              <w:lang w:eastAsia="en-GB"/>
              <w14:ligatures w14:val="standardContextual"/>
            </w:rPr>
          </w:pPr>
          <w:hyperlink w:anchor="_Toc206684767" w:history="1">
            <w:r w:rsidRPr="00BC4B75">
              <w:rPr>
                <w:rStyle w:val="Hyperlink"/>
                <w:rFonts w:eastAsia="Times New Roman" w:cs="Calibri Light"/>
                <w:lang w:eastAsia="sv-SE"/>
              </w:rPr>
              <w:t>4.2. Award criteria</w:t>
            </w:r>
            <w:r>
              <w:rPr>
                <w:webHidden/>
              </w:rPr>
              <w:tab/>
            </w:r>
            <w:r>
              <w:rPr>
                <w:webHidden/>
              </w:rPr>
              <w:fldChar w:fldCharType="begin"/>
            </w:r>
            <w:r>
              <w:rPr>
                <w:webHidden/>
              </w:rPr>
              <w:instrText xml:space="preserve"> PAGEREF _Toc206684767 \h </w:instrText>
            </w:r>
            <w:r>
              <w:rPr>
                <w:webHidden/>
              </w:rPr>
            </w:r>
            <w:r>
              <w:rPr>
                <w:webHidden/>
              </w:rPr>
              <w:fldChar w:fldCharType="separate"/>
            </w:r>
            <w:r w:rsidR="00417248">
              <w:rPr>
                <w:webHidden/>
              </w:rPr>
              <w:t>14</w:t>
            </w:r>
            <w:r>
              <w:rPr>
                <w:webHidden/>
              </w:rPr>
              <w:fldChar w:fldCharType="end"/>
            </w:r>
          </w:hyperlink>
        </w:p>
        <w:p w14:paraId="3BE04E13" w14:textId="1D0DD7A2" w:rsidR="00A53768" w:rsidRDefault="00A53768">
          <w:pPr>
            <w:pStyle w:val="TOC2"/>
            <w:rPr>
              <w:rFonts w:asciiTheme="minorHAnsi" w:hAnsiTheme="minorHAnsi"/>
              <w:color w:val="auto"/>
              <w:kern w:val="2"/>
              <w:sz w:val="24"/>
              <w:szCs w:val="24"/>
              <w:lang w:eastAsia="en-GB"/>
              <w14:ligatures w14:val="standardContextual"/>
            </w:rPr>
          </w:pPr>
          <w:hyperlink w:anchor="_Toc206684768" w:history="1">
            <w:r w:rsidRPr="00BC4B75">
              <w:rPr>
                <w:rStyle w:val="Hyperlink"/>
                <w:rFonts w:eastAsia="Times New Roman" w:cs="Calibri Light"/>
                <w:lang w:eastAsia="sv-SE"/>
              </w:rPr>
              <w:t>4.3. Selection of the suppliers</w:t>
            </w:r>
            <w:r>
              <w:rPr>
                <w:webHidden/>
              </w:rPr>
              <w:tab/>
            </w:r>
            <w:r>
              <w:rPr>
                <w:webHidden/>
              </w:rPr>
              <w:fldChar w:fldCharType="begin"/>
            </w:r>
            <w:r>
              <w:rPr>
                <w:webHidden/>
              </w:rPr>
              <w:instrText xml:space="preserve"> PAGEREF _Toc206684768 \h </w:instrText>
            </w:r>
            <w:r>
              <w:rPr>
                <w:webHidden/>
              </w:rPr>
            </w:r>
            <w:r>
              <w:rPr>
                <w:webHidden/>
              </w:rPr>
              <w:fldChar w:fldCharType="separate"/>
            </w:r>
            <w:r w:rsidR="00417248">
              <w:rPr>
                <w:webHidden/>
              </w:rPr>
              <w:t>18</w:t>
            </w:r>
            <w:r>
              <w:rPr>
                <w:webHidden/>
              </w:rPr>
              <w:fldChar w:fldCharType="end"/>
            </w:r>
          </w:hyperlink>
        </w:p>
        <w:p w14:paraId="2720133C" w14:textId="66C117BA" w:rsidR="00A53768" w:rsidRDefault="00A53768">
          <w:pPr>
            <w:pStyle w:val="TOC2"/>
            <w:rPr>
              <w:rFonts w:asciiTheme="minorHAnsi" w:hAnsiTheme="minorHAnsi"/>
              <w:color w:val="auto"/>
              <w:kern w:val="2"/>
              <w:sz w:val="24"/>
              <w:szCs w:val="24"/>
              <w:lang w:eastAsia="en-GB"/>
              <w14:ligatures w14:val="standardContextual"/>
            </w:rPr>
          </w:pPr>
          <w:hyperlink w:anchor="_Toc206684769" w:history="1">
            <w:r w:rsidRPr="00BC4B75">
              <w:rPr>
                <w:rStyle w:val="Hyperlink"/>
                <w:rFonts w:eastAsia="Times New Roman" w:cs="Calibri Light"/>
                <w:lang w:eastAsia="sv-SE"/>
              </w:rPr>
              <w:t>4.4. Signature of contract(s)</w:t>
            </w:r>
            <w:r>
              <w:rPr>
                <w:webHidden/>
              </w:rPr>
              <w:tab/>
            </w:r>
            <w:r>
              <w:rPr>
                <w:webHidden/>
              </w:rPr>
              <w:fldChar w:fldCharType="begin"/>
            </w:r>
            <w:r>
              <w:rPr>
                <w:webHidden/>
              </w:rPr>
              <w:instrText xml:space="preserve"> PAGEREF _Toc206684769 \h </w:instrText>
            </w:r>
            <w:r>
              <w:rPr>
                <w:webHidden/>
              </w:rPr>
            </w:r>
            <w:r>
              <w:rPr>
                <w:webHidden/>
              </w:rPr>
              <w:fldChar w:fldCharType="separate"/>
            </w:r>
            <w:r w:rsidR="00417248">
              <w:rPr>
                <w:webHidden/>
              </w:rPr>
              <w:t>18</w:t>
            </w:r>
            <w:r>
              <w:rPr>
                <w:webHidden/>
              </w:rPr>
              <w:fldChar w:fldCharType="end"/>
            </w:r>
          </w:hyperlink>
        </w:p>
        <w:p w14:paraId="148EA098" w14:textId="6BBF919D" w:rsidR="00A53768" w:rsidRDefault="00A53768">
          <w:pPr>
            <w:pStyle w:val="TOC2"/>
            <w:rPr>
              <w:rFonts w:asciiTheme="minorHAnsi" w:hAnsiTheme="minorHAnsi"/>
              <w:color w:val="auto"/>
              <w:kern w:val="2"/>
              <w:sz w:val="24"/>
              <w:szCs w:val="24"/>
              <w:lang w:eastAsia="en-GB"/>
              <w14:ligatures w14:val="standardContextual"/>
            </w:rPr>
          </w:pPr>
          <w:hyperlink w:anchor="_Toc206684770" w:history="1">
            <w:r w:rsidRPr="00BC4B75">
              <w:rPr>
                <w:rStyle w:val="Hyperlink"/>
                <w:rFonts w:eastAsia="Times New Roman" w:cs="Calibri Light"/>
                <w:lang w:eastAsia="sv-SE"/>
              </w:rPr>
              <w:t>4.5. Cancellation of the proposal procedure</w:t>
            </w:r>
            <w:r>
              <w:rPr>
                <w:webHidden/>
              </w:rPr>
              <w:tab/>
            </w:r>
            <w:r>
              <w:rPr>
                <w:webHidden/>
              </w:rPr>
              <w:fldChar w:fldCharType="begin"/>
            </w:r>
            <w:r>
              <w:rPr>
                <w:webHidden/>
              </w:rPr>
              <w:instrText xml:space="preserve"> PAGEREF _Toc206684770 \h </w:instrText>
            </w:r>
            <w:r>
              <w:rPr>
                <w:webHidden/>
              </w:rPr>
            </w:r>
            <w:r>
              <w:rPr>
                <w:webHidden/>
              </w:rPr>
              <w:fldChar w:fldCharType="separate"/>
            </w:r>
            <w:r w:rsidR="00417248">
              <w:rPr>
                <w:webHidden/>
              </w:rPr>
              <w:t>18</w:t>
            </w:r>
            <w:r>
              <w:rPr>
                <w:webHidden/>
              </w:rPr>
              <w:fldChar w:fldCharType="end"/>
            </w:r>
          </w:hyperlink>
        </w:p>
        <w:p w14:paraId="3EB398BF" w14:textId="157CAC4B" w:rsidR="00A53768" w:rsidRDefault="00A53768">
          <w:pPr>
            <w:pStyle w:val="TOC2"/>
            <w:rPr>
              <w:rFonts w:asciiTheme="minorHAnsi" w:hAnsiTheme="minorHAnsi"/>
              <w:color w:val="auto"/>
              <w:kern w:val="2"/>
              <w:sz w:val="24"/>
              <w:szCs w:val="24"/>
              <w:lang w:eastAsia="en-GB"/>
              <w14:ligatures w14:val="standardContextual"/>
            </w:rPr>
          </w:pPr>
          <w:hyperlink w:anchor="_Toc206684771" w:history="1">
            <w:r w:rsidRPr="00BC4B75">
              <w:rPr>
                <w:rStyle w:val="Hyperlink"/>
                <w:rFonts w:eastAsia="Times New Roman" w:cs="Calibri Light"/>
                <w:lang w:eastAsia="sv-SE"/>
              </w:rPr>
              <w:t>4.6. Appeals / Complains</w:t>
            </w:r>
            <w:r>
              <w:rPr>
                <w:webHidden/>
              </w:rPr>
              <w:tab/>
            </w:r>
            <w:r>
              <w:rPr>
                <w:webHidden/>
              </w:rPr>
              <w:fldChar w:fldCharType="begin"/>
            </w:r>
            <w:r>
              <w:rPr>
                <w:webHidden/>
              </w:rPr>
              <w:instrText xml:space="preserve"> PAGEREF _Toc206684771 \h </w:instrText>
            </w:r>
            <w:r>
              <w:rPr>
                <w:webHidden/>
              </w:rPr>
            </w:r>
            <w:r>
              <w:rPr>
                <w:webHidden/>
              </w:rPr>
              <w:fldChar w:fldCharType="separate"/>
            </w:r>
            <w:r w:rsidR="00417248">
              <w:rPr>
                <w:webHidden/>
              </w:rPr>
              <w:t>19</w:t>
            </w:r>
            <w:r>
              <w:rPr>
                <w:webHidden/>
              </w:rPr>
              <w:fldChar w:fldCharType="end"/>
            </w:r>
          </w:hyperlink>
        </w:p>
        <w:p w14:paraId="0AF7B3B4" w14:textId="3F25DDB2" w:rsidR="00A53768" w:rsidRDefault="00A53768">
          <w:pPr>
            <w:pStyle w:val="TOC2"/>
            <w:rPr>
              <w:rFonts w:asciiTheme="minorHAnsi" w:hAnsiTheme="minorHAnsi"/>
              <w:color w:val="auto"/>
              <w:kern w:val="2"/>
              <w:sz w:val="24"/>
              <w:szCs w:val="24"/>
              <w:lang w:eastAsia="en-GB"/>
              <w14:ligatures w14:val="standardContextual"/>
            </w:rPr>
          </w:pPr>
          <w:hyperlink w:anchor="_Toc206684772" w:history="1">
            <w:r w:rsidRPr="00BC4B75">
              <w:rPr>
                <w:rStyle w:val="Hyperlink"/>
                <w:rFonts w:eastAsia="Times New Roman" w:cs="Calibri Light"/>
                <w:lang w:eastAsia="sv-SE"/>
              </w:rPr>
              <w:t>4.7. Ethics clauses / Corruptive practices</w:t>
            </w:r>
            <w:r>
              <w:rPr>
                <w:webHidden/>
              </w:rPr>
              <w:tab/>
            </w:r>
            <w:r>
              <w:rPr>
                <w:webHidden/>
              </w:rPr>
              <w:fldChar w:fldCharType="begin"/>
            </w:r>
            <w:r>
              <w:rPr>
                <w:webHidden/>
              </w:rPr>
              <w:instrText xml:space="preserve"> PAGEREF _Toc206684772 \h </w:instrText>
            </w:r>
            <w:r>
              <w:rPr>
                <w:webHidden/>
              </w:rPr>
            </w:r>
            <w:r>
              <w:rPr>
                <w:webHidden/>
              </w:rPr>
              <w:fldChar w:fldCharType="separate"/>
            </w:r>
            <w:r w:rsidR="00417248">
              <w:rPr>
                <w:webHidden/>
              </w:rPr>
              <w:t>19</w:t>
            </w:r>
            <w:r>
              <w:rPr>
                <w:webHidden/>
              </w:rPr>
              <w:fldChar w:fldCharType="end"/>
            </w:r>
          </w:hyperlink>
        </w:p>
        <w:p w14:paraId="5BB5AB79" w14:textId="445A017B" w:rsidR="00A53768" w:rsidRDefault="00A53768">
          <w:pPr>
            <w:pStyle w:val="TOC2"/>
            <w:rPr>
              <w:rFonts w:asciiTheme="minorHAnsi" w:hAnsiTheme="minorHAnsi"/>
              <w:color w:val="auto"/>
              <w:kern w:val="2"/>
              <w:sz w:val="24"/>
              <w:szCs w:val="24"/>
              <w:lang w:eastAsia="en-GB"/>
              <w14:ligatures w14:val="standardContextual"/>
            </w:rPr>
          </w:pPr>
          <w:hyperlink w:anchor="_Toc206684773" w:history="1">
            <w:r w:rsidRPr="00BC4B75">
              <w:rPr>
                <w:rStyle w:val="Hyperlink"/>
                <w:rFonts w:eastAsia="Times New Roman" w:cs="Calibri Light"/>
                <w:lang w:eastAsia="sv-SE"/>
              </w:rPr>
              <w:t>4.8. Safeguarding of EU’s financial interest</w:t>
            </w:r>
            <w:r>
              <w:rPr>
                <w:webHidden/>
              </w:rPr>
              <w:tab/>
            </w:r>
            <w:r>
              <w:rPr>
                <w:webHidden/>
              </w:rPr>
              <w:fldChar w:fldCharType="begin"/>
            </w:r>
            <w:r>
              <w:rPr>
                <w:webHidden/>
              </w:rPr>
              <w:instrText xml:space="preserve"> PAGEREF _Toc206684773 \h </w:instrText>
            </w:r>
            <w:r>
              <w:rPr>
                <w:webHidden/>
              </w:rPr>
            </w:r>
            <w:r>
              <w:rPr>
                <w:webHidden/>
              </w:rPr>
              <w:fldChar w:fldCharType="separate"/>
            </w:r>
            <w:r w:rsidR="00417248">
              <w:rPr>
                <w:webHidden/>
              </w:rPr>
              <w:t>19</w:t>
            </w:r>
            <w:r>
              <w:rPr>
                <w:webHidden/>
              </w:rPr>
              <w:fldChar w:fldCharType="end"/>
            </w:r>
          </w:hyperlink>
        </w:p>
        <w:p w14:paraId="63802BCE" w14:textId="76A156D5" w:rsidR="00A53768" w:rsidRDefault="00A53768">
          <w:pPr>
            <w:pStyle w:val="TOC1"/>
            <w:rPr>
              <w:rFonts w:asciiTheme="minorHAnsi" w:hAnsiTheme="minorHAnsi"/>
              <w:b w:val="0"/>
              <w:color w:val="auto"/>
              <w:kern w:val="2"/>
              <w:sz w:val="24"/>
              <w:szCs w:val="24"/>
              <w:lang w:eastAsia="en-GB"/>
              <w14:ligatures w14:val="standardContextual"/>
            </w:rPr>
          </w:pPr>
          <w:hyperlink w:anchor="_Toc206684774" w:history="1">
            <w:r w:rsidRPr="00BC4B75">
              <w:rPr>
                <w:rStyle w:val="Hyperlink"/>
              </w:rPr>
              <w:t>Annex 1.1  Service Agreement for 2025</w:t>
            </w:r>
            <w:r>
              <w:rPr>
                <w:webHidden/>
              </w:rPr>
              <w:tab/>
            </w:r>
            <w:r>
              <w:rPr>
                <w:webHidden/>
              </w:rPr>
              <w:fldChar w:fldCharType="begin"/>
            </w:r>
            <w:r>
              <w:rPr>
                <w:webHidden/>
              </w:rPr>
              <w:instrText xml:space="preserve"> PAGEREF _Toc206684774 \h </w:instrText>
            </w:r>
            <w:r>
              <w:rPr>
                <w:webHidden/>
              </w:rPr>
            </w:r>
            <w:r>
              <w:rPr>
                <w:webHidden/>
              </w:rPr>
              <w:fldChar w:fldCharType="separate"/>
            </w:r>
            <w:r w:rsidR="00417248">
              <w:rPr>
                <w:webHidden/>
              </w:rPr>
              <w:t>20</w:t>
            </w:r>
            <w:r>
              <w:rPr>
                <w:webHidden/>
              </w:rPr>
              <w:fldChar w:fldCharType="end"/>
            </w:r>
          </w:hyperlink>
        </w:p>
        <w:p w14:paraId="471D586D" w14:textId="0DF7681B" w:rsidR="00A53768" w:rsidRDefault="00A53768">
          <w:pPr>
            <w:pStyle w:val="TOC1"/>
            <w:rPr>
              <w:rFonts w:asciiTheme="minorHAnsi" w:hAnsiTheme="minorHAnsi"/>
              <w:b w:val="0"/>
              <w:color w:val="auto"/>
              <w:kern w:val="2"/>
              <w:sz w:val="24"/>
              <w:szCs w:val="24"/>
              <w:lang w:eastAsia="en-GB"/>
              <w14:ligatures w14:val="standardContextual"/>
            </w:rPr>
          </w:pPr>
          <w:hyperlink w:anchor="_Toc206684775" w:history="1">
            <w:r w:rsidRPr="00BC4B75">
              <w:rPr>
                <w:rStyle w:val="Hyperlink"/>
              </w:rPr>
              <w:t>Annex 1.2. Service Agreement for Year 2026-2027</w:t>
            </w:r>
            <w:r>
              <w:rPr>
                <w:webHidden/>
              </w:rPr>
              <w:tab/>
            </w:r>
            <w:r>
              <w:rPr>
                <w:webHidden/>
              </w:rPr>
              <w:fldChar w:fldCharType="begin"/>
            </w:r>
            <w:r>
              <w:rPr>
                <w:webHidden/>
              </w:rPr>
              <w:instrText xml:space="preserve"> PAGEREF _Toc206684775 \h </w:instrText>
            </w:r>
            <w:r>
              <w:rPr>
                <w:webHidden/>
              </w:rPr>
            </w:r>
            <w:r>
              <w:rPr>
                <w:webHidden/>
              </w:rPr>
              <w:fldChar w:fldCharType="separate"/>
            </w:r>
            <w:r w:rsidR="00417248">
              <w:rPr>
                <w:webHidden/>
              </w:rPr>
              <w:t>42</w:t>
            </w:r>
            <w:r>
              <w:rPr>
                <w:webHidden/>
              </w:rPr>
              <w:fldChar w:fldCharType="end"/>
            </w:r>
          </w:hyperlink>
        </w:p>
        <w:p w14:paraId="4BD6183A" w14:textId="26220F94" w:rsidR="00A53768" w:rsidRDefault="00A53768">
          <w:pPr>
            <w:pStyle w:val="TOC1"/>
            <w:rPr>
              <w:rFonts w:asciiTheme="minorHAnsi" w:hAnsiTheme="minorHAnsi"/>
              <w:b w:val="0"/>
              <w:color w:val="auto"/>
              <w:kern w:val="2"/>
              <w:sz w:val="24"/>
              <w:szCs w:val="24"/>
              <w:lang w:eastAsia="en-GB"/>
              <w14:ligatures w14:val="standardContextual"/>
            </w:rPr>
          </w:pPr>
          <w:hyperlink w:anchor="_Toc206684776" w:history="1">
            <w:r w:rsidRPr="00BC4B75">
              <w:rPr>
                <w:rStyle w:val="Hyperlink"/>
              </w:rPr>
              <w:t>Annex 2. Tenders’ submission form</w:t>
            </w:r>
            <w:r>
              <w:rPr>
                <w:webHidden/>
              </w:rPr>
              <w:tab/>
            </w:r>
            <w:r>
              <w:rPr>
                <w:webHidden/>
              </w:rPr>
              <w:fldChar w:fldCharType="begin"/>
            </w:r>
            <w:r>
              <w:rPr>
                <w:webHidden/>
              </w:rPr>
              <w:instrText xml:space="preserve"> PAGEREF _Toc206684776 \h </w:instrText>
            </w:r>
            <w:r>
              <w:rPr>
                <w:webHidden/>
              </w:rPr>
            </w:r>
            <w:r>
              <w:rPr>
                <w:webHidden/>
              </w:rPr>
              <w:fldChar w:fldCharType="separate"/>
            </w:r>
            <w:r w:rsidR="00417248">
              <w:rPr>
                <w:webHidden/>
              </w:rPr>
              <w:t>64</w:t>
            </w:r>
            <w:r>
              <w:rPr>
                <w:webHidden/>
              </w:rPr>
              <w:fldChar w:fldCharType="end"/>
            </w:r>
          </w:hyperlink>
        </w:p>
        <w:p w14:paraId="6F6C3F9C" w14:textId="6D34A675" w:rsidR="00A53768" w:rsidRDefault="00A53768">
          <w:pPr>
            <w:pStyle w:val="TOC1"/>
            <w:rPr>
              <w:rFonts w:asciiTheme="minorHAnsi" w:hAnsiTheme="minorHAnsi"/>
              <w:b w:val="0"/>
              <w:color w:val="auto"/>
              <w:kern w:val="2"/>
              <w:sz w:val="24"/>
              <w:szCs w:val="24"/>
              <w:lang w:eastAsia="en-GB"/>
              <w14:ligatures w14:val="standardContextual"/>
            </w:rPr>
          </w:pPr>
          <w:hyperlink w:anchor="_Toc206684777" w:history="1">
            <w:r w:rsidRPr="00BC4B75">
              <w:rPr>
                <w:rStyle w:val="Hyperlink"/>
              </w:rPr>
              <w:t>Annex 3. Tenderer’s declaration form</w:t>
            </w:r>
            <w:r>
              <w:rPr>
                <w:webHidden/>
              </w:rPr>
              <w:tab/>
            </w:r>
            <w:r>
              <w:rPr>
                <w:webHidden/>
              </w:rPr>
              <w:fldChar w:fldCharType="begin"/>
            </w:r>
            <w:r>
              <w:rPr>
                <w:webHidden/>
              </w:rPr>
              <w:instrText xml:space="preserve"> PAGEREF _Toc206684777 \h </w:instrText>
            </w:r>
            <w:r>
              <w:rPr>
                <w:webHidden/>
              </w:rPr>
            </w:r>
            <w:r>
              <w:rPr>
                <w:webHidden/>
              </w:rPr>
              <w:fldChar w:fldCharType="separate"/>
            </w:r>
            <w:r w:rsidR="00417248">
              <w:rPr>
                <w:webHidden/>
              </w:rPr>
              <w:t>66</w:t>
            </w:r>
            <w:r>
              <w:rPr>
                <w:webHidden/>
              </w:rPr>
              <w:fldChar w:fldCharType="end"/>
            </w:r>
          </w:hyperlink>
        </w:p>
        <w:p w14:paraId="26D13C02" w14:textId="7217A929" w:rsidR="00A53768" w:rsidRDefault="00A53768">
          <w:pPr>
            <w:pStyle w:val="TOC1"/>
            <w:rPr>
              <w:rFonts w:asciiTheme="minorHAnsi" w:hAnsiTheme="minorHAnsi"/>
              <w:b w:val="0"/>
              <w:color w:val="auto"/>
              <w:kern w:val="2"/>
              <w:sz w:val="24"/>
              <w:szCs w:val="24"/>
              <w:lang w:eastAsia="en-GB"/>
              <w14:ligatures w14:val="standardContextual"/>
            </w:rPr>
          </w:pPr>
          <w:hyperlink w:anchor="_Toc206684778" w:history="1">
            <w:r w:rsidRPr="00BC4B75">
              <w:rPr>
                <w:rStyle w:val="Hyperlink"/>
              </w:rPr>
              <w:t>Annex 4. Activity plan template</w:t>
            </w:r>
            <w:r>
              <w:rPr>
                <w:webHidden/>
              </w:rPr>
              <w:tab/>
            </w:r>
            <w:r>
              <w:rPr>
                <w:webHidden/>
              </w:rPr>
              <w:fldChar w:fldCharType="begin"/>
            </w:r>
            <w:r>
              <w:rPr>
                <w:webHidden/>
              </w:rPr>
              <w:instrText xml:space="preserve"> PAGEREF _Toc206684778 \h </w:instrText>
            </w:r>
            <w:r>
              <w:rPr>
                <w:webHidden/>
              </w:rPr>
            </w:r>
            <w:r>
              <w:rPr>
                <w:webHidden/>
              </w:rPr>
              <w:fldChar w:fldCharType="separate"/>
            </w:r>
            <w:r w:rsidR="00417248">
              <w:rPr>
                <w:webHidden/>
              </w:rPr>
              <w:t>67</w:t>
            </w:r>
            <w:r>
              <w:rPr>
                <w:webHidden/>
              </w:rPr>
              <w:fldChar w:fldCharType="end"/>
            </w:r>
          </w:hyperlink>
        </w:p>
        <w:p w14:paraId="43F7E7C7" w14:textId="68357CEF" w:rsidR="00A53768" w:rsidRDefault="00A53768">
          <w:pPr>
            <w:pStyle w:val="TOC1"/>
            <w:rPr>
              <w:rFonts w:asciiTheme="minorHAnsi" w:hAnsiTheme="minorHAnsi"/>
              <w:b w:val="0"/>
              <w:color w:val="auto"/>
              <w:kern w:val="2"/>
              <w:sz w:val="24"/>
              <w:szCs w:val="24"/>
              <w:lang w:eastAsia="en-GB"/>
              <w14:ligatures w14:val="standardContextual"/>
            </w:rPr>
          </w:pPr>
          <w:hyperlink w:anchor="_Toc206684779" w:history="1">
            <w:r w:rsidRPr="00BC4B75">
              <w:rPr>
                <w:rStyle w:val="Hyperlink"/>
              </w:rPr>
              <w:t>Annex 5. ECO Performance Monitoring and Evaluation Guidelines</w:t>
            </w:r>
            <w:r>
              <w:rPr>
                <w:webHidden/>
              </w:rPr>
              <w:tab/>
            </w:r>
            <w:r>
              <w:rPr>
                <w:webHidden/>
              </w:rPr>
              <w:fldChar w:fldCharType="begin"/>
            </w:r>
            <w:r>
              <w:rPr>
                <w:webHidden/>
              </w:rPr>
              <w:instrText xml:space="preserve"> PAGEREF _Toc206684779 \h </w:instrText>
            </w:r>
            <w:r>
              <w:rPr>
                <w:webHidden/>
              </w:rPr>
            </w:r>
            <w:r>
              <w:rPr>
                <w:webHidden/>
              </w:rPr>
              <w:fldChar w:fldCharType="separate"/>
            </w:r>
            <w:r w:rsidR="00417248">
              <w:rPr>
                <w:webHidden/>
              </w:rPr>
              <w:t>56</w:t>
            </w:r>
            <w:r>
              <w:rPr>
                <w:webHidden/>
              </w:rPr>
              <w:fldChar w:fldCharType="end"/>
            </w:r>
          </w:hyperlink>
        </w:p>
        <w:p w14:paraId="188388F9" w14:textId="091E77F9" w:rsidR="00A53768" w:rsidRDefault="00A53768">
          <w:pPr>
            <w:pStyle w:val="TOC1"/>
            <w:rPr>
              <w:rFonts w:asciiTheme="minorHAnsi" w:hAnsiTheme="minorHAnsi"/>
              <w:b w:val="0"/>
              <w:color w:val="auto"/>
              <w:kern w:val="2"/>
              <w:sz w:val="24"/>
              <w:szCs w:val="24"/>
              <w:lang w:eastAsia="en-GB"/>
              <w14:ligatures w14:val="standardContextual"/>
            </w:rPr>
          </w:pPr>
          <w:hyperlink w:anchor="_Toc206684780" w:history="1">
            <w:r w:rsidRPr="00BC4B75">
              <w:rPr>
                <w:rStyle w:val="Hyperlink"/>
              </w:rPr>
              <w:t>Annex 6. Proven experience of the proposed expert(s)</w:t>
            </w:r>
            <w:r>
              <w:rPr>
                <w:webHidden/>
              </w:rPr>
              <w:tab/>
            </w:r>
            <w:r>
              <w:rPr>
                <w:webHidden/>
              </w:rPr>
              <w:fldChar w:fldCharType="begin"/>
            </w:r>
            <w:r>
              <w:rPr>
                <w:webHidden/>
              </w:rPr>
              <w:instrText xml:space="preserve"> PAGEREF _Toc206684780 \h </w:instrText>
            </w:r>
            <w:r>
              <w:rPr>
                <w:webHidden/>
              </w:rPr>
            </w:r>
            <w:r>
              <w:rPr>
                <w:webHidden/>
              </w:rPr>
              <w:fldChar w:fldCharType="separate"/>
            </w:r>
            <w:r w:rsidR="00417248">
              <w:rPr>
                <w:webHidden/>
              </w:rPr>
              <w:t>56</w:t>
            </w:r>
            <w:r>
              <w:rPr>
                <w:webHidden/>
              </w:rPr>
              <w:fldChar w:fldCharType="end"/>
            </w:r>
          </w:hyperlink>
        </w:p>
        <w:p w14:paraId="4EA967BA" w14:textId="092A7D78" w:rsidR="00825D72" w:rsidRPr="00825D72" w:rsidRDefault="00825D72" w:rsidP="7295751F">
          <w:pPr>
            <w:pStyle w:val="TOC1"/>
            <w:rPr>
              <w:rStyle w:val="Hyperlink"/>
              <w:kern w:val="2"/>
              <w:lang w:eastAsia="en-GB"/>
              <w14:ligatures w14:val="standardContextual"/>
            </w:rPr>
          </w:pPr>
          <w:r>
            <w:fldChar w:fldCharType="end"/>
          </w:r>
        </w:p>
      </w:sdtContent>
    </w:sdt>
    <w:p w14:paraId="12D8C892" w14:textId="724F17C5" w:rsidR="44221130" w:rsidRDefault="44221130" w:rsidP="44221130">
      <w:pPr>
        <w:pStyle w:val="TOC1"/>
        <w:rPr>
          <w:rStyle w:val="Hyperlink"/>
        </w:rPr>
      </w:pPr>
    </w:p>
    <w:p w14:paraId="54D403EC" w14:textId="49DB4683" w:rsidR="34E92788" w:rsidRDefault="34E92788" w:rsidP="34E92788">
      <w:pPr>
        <w:pStyle w:val="TOC1"/>
        <w:rPr>
          <w:rStyle w:val="Hyperlink"/>
        </w:rPr>
      </w:pPr>
    </w:p>
    <w:p w14:paraId="443BADED" w14:textId="631324FD" w:rsidR="00DB0363" w:rsidRPr="00D741C3" w:rsidRDefault="00DB0363" w:rsidP="00A914CB">
      <w:pPr>
        <w:pStyle w:val="TOC2"/>
        <w:tabs>
          <w:tab w:val="left" w:pos="600"/>
        </w:tabs>
        <w:rPr>
          <w:color w:val="333333" w:themeColor="hyperlink"/>
        </w:rPr>
      </w:pPr>
    </w:p>
    <w:p w14:paraId="47F42E92" w14:textId="776EE2A0" w:rsidR="00BF5B74" w:rsidRPr="00556B48" w:rsidRDefault="5F519994" w:rsidP="613C8D78">
      <w:pPr>
        <w:pStyle w:val="EITUMHeading1"/>
        <w:pageBreakBefore/>
        <w:ind w:left="714" w:hanging="357"/>
      </w:pPr>
      <w:bookmarkStart w:id="0" w:name="_Toc160244505"/>
      <w:bookmarkStart w:id="1" w:name="_Toc206684749"/>
      <w:bookmarkStart w:id="2" w:name="_Hlk117172674"/>
      <w:r>
        <w:lastRenderedPageBreak/>
        <w:t>Overview</w:t>
      </w:r>
      <w:bookmarkEnd w:id="0"/>
      <w:bookmarkEnd w:id="1"/>
      <w:r>
        <w:t xml:space="preserve"> </w:t>
      </w:r>
    </w:p>
    <w:p w14:paraId="2B1639BC" w14:textId="63BDD50B" w:rsidR="006422D3" w:rsidRDefault="09B65C7A" w:rsidP="4F2CC5D0">
      <w:pPr>
        <w:widowControl w:val="0"/>
        <w:shd w:val="clear" w:color="auto" w:fill="FFFFFF" w:themeFill="background1"/>
        <w:autoSpaceDE w:val="0"/>
        <w:autoSpaceDN w:val="0"/>
        <w:spacing w:after="0" w:line="240" w:lineRule="auto"/>
        <w:jc w:val="both"/>
      </w:pPr>
      <w:bookmarkStart w:id="3" w:name="_Hlk143118181"/>
      <w:bookmarkStart w:id="4" w:name="_Hlk202946998"/>
      <w:r>
        <w:t xml:space="preserve">EIT Urban Mobility </w:t>
      </w:r>
      <w:r w:rsidR="0025498F">
        <w:t xml:space="preserve">S.L.U. (hereinafter referred as EIT UM) </w:t>
      </w:r>
      <w:r>
        <w:t>is pleased to announce this Request for Proposals (</w:t>
      </w:r>
      <w:proofErr w:type="spellStart"/>
      <w:r>
        <w:t>RfP</w:t>
      </w:r>
      <w:proofErr w:type="spellEnd"/>
      <w:r>
        <w:t xml:space="preserve">) aimed at identifying </w:t>
      </w:r>
      <w:r w:rsidR="00D7183B">
        <w:t xml:space="preserve">a </w:t>
      </w:r>
      <w:r>
        <w:t xml:space="preserve">qualified </w:t>
      </w:r>
      <w:r w:rsidR="00677DF2">
        <w:t xml:space="preserve">supplier </w:t>
      </w:r>
      <w:r w:rsidR="0025498F">
        <w:t xml:space="preserve">(hereinafter referred as “provider” or “supplier”) </w:t>
      </w:r>
      <w:r>
        <w:t xml:space="preserve">to carry out </w:t>
      </w:r>
      <w:r w:rsidR="00D7183B">
        <w:t>the EIT Community Officer</w:t>
      </w:r>
      <w:r w:rsidR="00C36C3C">
        <w:t xml:space="preserve"> </w:t>
      </w:r>
      <w:r w:rsidR="00D7183B">
        <w:t>role</w:t>
      </w:r>
      <w:r w:rsidR="00F077AD">
        <w:t>(s)</w:t>
      </w:r>
      <w:r w:rsidR="4C843B15">
        <w:t xml:space="preserve"> </w:t>
      </w:r>
      <w:r>
        <w:t xml:space="preserve">in </w:t>
      </w:r>
      <w:r w:rsidR="00D7183B">
        <w:t>Bulgaria</w:t>
      </w:r>
      <w:r>
        <w:t>.</w:t>
      </w:r>
      <w:r w:rsidR="00733568" w:rsidRPr="00733568">
        <w:t xml:space="preserve"> This </w:t>
      </w:r>
      <w:proofErr w:type="spellStart"/>
      <w:r w:rsidR="00733568" w:rsidRPr="00733568">
        <w:t>RfP</w:t>
      </w:r>
      <w:proofErr w:type="spellEnd"/>
      <w:r w:rsidR="00733568" w:rsidRPr="00733568">
        <w:t xml:space="preserve"> is issued on behalf of the EIT Community SRI Cluster, a collaboration between all nine EIT Knowledge and Innovation Communities (KICs), with the possibility of changes in participating KICs over time.</w:t>
      </w:r>
    </w:p>
    <w:p w14:paraId="1E2994A1" w14:textId="77777777" w:rsidR="00733568" w:rsidRDefault="00733568" w:rsidP="4F2CC5D0">
      <w:pPr>
        <w:widowControl w:val="0"/>
        <w:shd w:val="clear" w:color="auto" w:fill="FFFFFF" w:themeFill="background1"/>
        <w:autoSpaceDE w:val="0"/>
        <w:autoSpaceDN w:val="0"/>
        <w:spacing w:after="0" w:line="240" w:lineRule="auto"/>
        <w:jc w:val="both"/>
      </w:pPr>
    </w:p>
    <w:p w14:paraId="09195C10" w14:textId="564465C3" w:rsidR="00733568" w:rsidRDefault="00733568" w:rsidP="4F2CC5D0">
      <w:pPr>
        <w:widowControl w:val="0"/>
        <w:shd w:val="clear" w:color="auto" w:fill="FFFFFF" w:themeFill="background1"/>
        <w:autoSpaceDE w:val="0"/>
        <w:autoSpaceDN w:val="0"/>
        <w:spacing w:after="0" w:line="240" w:lineRule="auto"/>
        <w:jc w:val="both"/>
      </w:pPr>
      <w:r w:rsidRPr="00733568">
        <w:t>The selected provider will act as the central operational and coordination point for EIT Community activities in Bulgaria, strengthening the visibility and impact of the EIT Community at local, regional, and national levels. The EIT Community Officer</w:t>
      </w:r>
      <w:r w:rsidR="00F077AD">
        <w:t>(s)</w:t>
      </w:r>
      <w:r w:rsidRPr="00733568">
        <w:t xml:space="preserve"> </w:t>
      </w:r>
      <w:r w:rsidR="00F34223">
        <w:t>(ECO</w:t>
      </w:r>
      <w:r w:rsidR="00F077AD">
        <w:t>s</w:t>
      </w:r>
      <w:r w:rsidR="00F34223">
        <w:t xml:space="preserve">) </w:t>
      </w:r>
      <w:r w:rsidRPr="00733568">
        <w:t>will be responsible for implementing joint activities, engaging diverse stakeholder groups, and fostering synergies between the EIT KICs to maximise community outreach and innovation uptake</w:t>
      </w:r>
      <w:r w:rsidR="00F34223">
        <w:t>, acting as the one-stop shop for EIT Community activities in Bulgaria</w:t>
      </w:r>
      <w:r w:rsidRPr="00733568">
        <w:t>.</w:t>
      </w:r>
    </w:p>
    <w:p w14:paraId="490DF846" w14:textId="77777777" w:rsidR="00733568" w:rsidRDefault="00733568" w:rsidP="4F2CC5D0">
      <w:pPr>
        <w:widowControl w:val="0"/>
        <w:shd w:val="clear" w:color="auto" w:fill="FFFFFF" w:themeFill="background1"/>
        <w:autoSpaceDE w:val="0"/>
        <w:autoSpaceDN w:val="0"/>
        <w:spacing w:after="0" w:line="240" w:lineRule="auto"/>
        <w:jc w:val="both"/>
      </w:pPr>
    </w:p>
    <w:p w14:paraId="47551D01" w14:textId="10B22619" w:rsidR="00E73F4E" w:rsidRDefault="00E73F4E" w:rsidP="00E73F4E">
      <w:pPr>
        <w:widowControl w:val="0"/>
        <w:shd w:val="clear" w:color="auto" w:fill="FFFFFF" w:themeFill="background1"/>
        <w:autoSpaceDE w:val="0"/>
        <w:autoSpaceDN w:val="0"/>
        <w:spacing w:after="0" w:line="240" w:lineRule="auto"/>
        <w:jc w:val="both"/>
      </w:pPr>
      <w:r>
        <w:t xml:space="preserve">This </w:t>
      </w:r>
      <w:proofErr w:type="spellStart"/>
      <w:r>
        <w:t>RfP</w:t>
      </w:r>
      <w:proofErr w:type="spellEnd"/>
      <w:r>
        <w:t xml:space="preserve"> covers</w:t>
      </w:r>
      <w:r w:rsidR="006407B4">
        <w:t xml:space="preserve"> the period starting on November 1</w:t>
      </w:r>
      <w:r w:rsidR="006407B4" w:rsidRPr="2EC773D3">
        <w:rPr>
          <w:vertAlign w:val="superscript"/>
        </w:rPr>
        <w:t>st</w:t>
      </w:r>
      <w:r w:rsidR="006407B4">
        <w:t xml:space="preserve"> 2025 until December 31</w:t>
      </w:r>
      <w:r w:rsidR="006407B4" w:rsidRPr="2EC773D3">
        <w:rPr>
          <w:vertAlign w:val="superscript"/>
        </w:rPr>
        <w:t xml:space="preserve">st </w:t>
      </w:r>
      <w:r w:rsidR="006407B4">
        <w:t xml:space="preserve"> 2027</w:t>
      </w:r>
      <w:r>
        <w:t>. Pending evaluation and funding</w:t>
      </w:r>
      <w:r w:rsidR="10331C95">
        <w:t xml:space="preserve"> availability</w:t>
      </w:r>
      <w:r>
        <w:t xml:space="preserve">, it may be extended for an additional </w:t>
      </w:r>
      <w:r w:rsidR="006407B4">
        <w:t>period of 12 months</w:t>
      </w:r>
      <w:r>
        <w:t xml:space="preserve"> (2028). </w:t>
      </w:r>
    </w:p>
    <w:p w14:paraId="3C438B1A" w14:textId="77777777" w:rsidR="00733568" w:rsidRDefault="00733568" w:rsidP="4F2CC5D0">
      <w:pPr>
        <w:widowControl w:val="0"/>
        <w:shd w:val="clear" w:color="auto" w:fill="FFFFFF" w:themeFill="background1"/>
        <w:autoSpaceDE w:val="0"/>
        <w:autoSpaceDN w:val="0"/>
        <w:spacing w:after="0" w:line="240" w:lineRule="auto"/>
        <w:jc w:val="both"/>
      </w:pPr>
    </w:p>
    <w:p w14:paraId="4DCA03BD" w14:textId="66362950" w:rsidR="00733568" w:rsidRDefault="4CE01B04" w:rsidP="00733568">
      <w:pPr>
        <w:widowControl w:val="0"/>
        <w:shd w:val="clear" w:color="auto" w:fill="FFFFFF" w:themeFill="background1"/>
        <w:autoSpaceDE w:val="0"/>
        <w:autoSpaceDN w:val="0"/>
        <w:spacing w:after="0" w:line="240" w:lineRule="auto"/>
        <w:jc w:val="both"/>
      </w:pPr>
      <w:r>
        <w:t>Applicants</w:t>
      </w:r>
      <w:r w:rsidR="0AE04B90">
        <w:t>’ proposed experts</w:t>
      </w:r>
      <w:r>
        <w:t xml:space="preserve"> should demonstrate proven experience in innovation ecosystem engagement, project coordination, and stakeholder mobilisation, particularly in the Bulgarian context. The successful applicant is expected to propose a dynamic, collaborative, and impact-oriented </w:t>
      </w:r>
      <w:r w:rsidR="2386A817">
        <w:t>activity</w:t>
      </w:r>
      <w:r>
        <w:t xml:space="preserve"> plan that leverages the strengths of </w:t>
      </w:r>
      <w:r w:rsidR="018A6BEB">
        <w:t>all</w:t>
      </w:r>
      <w:r>
        <w:t xml:space="preserve"> KICs, </w:t>
      </w:r>
      <w:r w:rsidR="3CD1DBE4">
        <w:t xml:space="preserve">and of the EIT Community </w:t>
      </w:r>
      <w:r>
        <w:t>while remaining responsive to local innovation needs.</w:t>
      </w:r>
    </w:p>
    <w:p w14:paraId="770FCFAA" w14:textId="77777777" w:rsidR="00D4544E" w:rsidRDefault="00D4544E" w:rsidP="00CF10E9">
      <w:pPr>
        <w:widowControl w:val="0"/>
        <w:shd w:val="clear" w:color="auto" w:fill="FFFFFF"/>
        <w:autoSpaceDE w:val="0"/>
        <w:autoSpaceDN w:val="0"/>
        <w:spacing w:after="0" w:line="240" w:lineRule="auto"/>
        <w:jc w:val="both"/>
      </w:pPr>
    </w:p>
    <w:p w14:paraId="7712DFE9" w14:textId="0181FACB" w:rsidR="00D4544E" w:rsidRDefault="00D4544E" w:rsidP="2EC773D3">
      <w:pPr>
        <w:widowControl w:val="0"/>
        <w:shd w:val="clear" w:color="auto" w:fill="FFFFFF" w:themeFill="background1"/>
        <w:autoSpaceDE w:val="0"/>
        <w:autoSpaceDN w:val="0"/>
        <w:spacing w:after="0" w:line="240" w:lineRule="auto"/>
        <w:jc w:val="both"/>
      </w:pPr>
      <w:r>
        <w:t xml:space="preserve">With regards to the eligibility requirements, applicants must have physical presence in </w:t>
      </w:r>
      <w:r w:rsidR="2614C867">
        <w:t>Bulgaria</w:t>
      </w:r>
      <w:r w:rsidR="00733568">
        <w:t xml:space="preserve"> </w:t>
      </w:r>
      <w:r>
        <w:t xml:space="preserve">as a legally registered entity within the country. </w:t>
      </w:r>
    </w:p>
    <w:p w14:paraId="2EB82685" w14:textId="77777777" w:rsidR="00E535A4" w:rsidRDefault="00E535A4" w:rsidP="00E535A4">
      <w:pPr>
        <w:widowControl w:val="0"/>
        <w:shd w:val="clear" w:color="auto" w:fill="FFFFFF"/>
        <w:autoSpaceDE w:val="0"/>
        <w:autoSpaceDN w:val="0"/>
        <w:spacing w:after="0" w:line="240" w:lineRule="auto"/>
        <w:jc w:val="both"/>
      </w:pPr>
    </w:p>
    <w:p w14:paraId="55A8FD0A" w14:textId="15C01EA9" w:rsidR="005033AB" w:rsidRPr="00D4544E" w:rsidRDefault="005033AB" w:rsidP="00D4544E">
      <w:pPr>
        <w:spacing w:after="200" w:line="276" w:lineRule="auto"/>
      </w:pPr>
      <w:r w:rsidRPr="00B56F37">
        <w:rPr>
          <w:rFonts w:eastAsia="Arial MT"/>
        </w:rPr>
        <w:t>The KICs that actively take part in the EIT Community are:</w:t>
      </w:r>
    </w:p>
    <w:p w14:paraId="4F0042B2" w14:textId="318EF1C1" w:rsidR="005033AB" w:rsidRPr="00B56F37" w:rsidRDefault="005033AB" w:rsidP="00D90AD3">
      <w:pPr>
        <w:pStyle w:val="ListParagraph"/>
        <w:numPr>
          <w:ilvl w:val="0"/>
          <w:numId w:val="20"/>
        </w:numPr>
        <w:jc w:val="both"/>
        <w:rPr>
          <w:rFonts w:eastAsia="Arial MT"/>
          <w:lang w:val="en-US"/>
        </w:rPr>
      </w:pPr>
      <w:hyperlink r:id="rId13" w:history="1">
        <w:r w:rsidRPr="00B56F37">
          <w:rPr>
            <w:rStyle w:val="Hyperlink"/>
            <w:rFonts w:eastAsia="Arial MT"/>
            <w:lang w:val="en-US"/>
          </w:rPr>
          <w:t>Climate-KIC</w:t>
        </w:r>
      </w:hyperlink>
      <w:r w:rsidRPr="00B56F37">
        <w:rPr>
          <w:rFonts w:eastAsia="Arial MT"/>
          <w:lang w:val="en-US"/>
        </w:rPr>
        <w:t>: Working to accelerate the transition to a zero-carbon economy;</w:t>
      </w:r>
    </w:p>
    <w:p w14:paraId="580B8D3D" w14:textId="77777777" w:rsidR="005033AB" w:rsidRDefault="005033AB" w:rsidP="00D90AD3">
      <w:pPr>
        <w:pStyle w:val="ListParagraph"/>
        <w:numPr>
          <w:ilvl w:val="0"/>
          <w:numId w:val="20"/>
        </w:numPr>
        <w:jc w:val="both"/>
        <w:rPr>
          <w:rFonts w:eastAsia="Arial MT"/>
          <w:lang w:val="en-US"/>
        </w:rPr>
      </w:pPr>
      <w:hyperlink r:id="rId14" w:tooltip="EIT Digital's page on the EIT website" w:history="1">
        <w:r w:rsidRPr="00B56F37">
          <w:rPr>
            <w:rStyle w:val="Hyperlink"/>
            <w:rFonts w:eastAsia="Arial MT"/>
            <w:lang w:val="en-US"/>
          </w:rPr>
          <w:t>EIT Digital</w:t>
        </w:r>
      </w:hyperlink>
      <w:r w:rsidRPr="00B56F37">
        <w:rPr>
          <w:rFonts w:eastAsia="Arial MT"/>
          <w:lang w:val="en-US"/>
        </w:rPr>
        <w:t>: Driving Europe’s digital transformation;</w:t>
      </w:r>
    </w:p>
    <w:p w14:paraId="1B3A8B1D" w14:textId="53DD56D9" w:rsidR="000417D6" w:rsidRPr="000417D6" w:rsidRDefault="000417D6" w:rsidP="00D90AD3">
      <w:pPr>
        <w:pStyle w:val="ListParagraph"/>
        <w:numPr>
          <w:ilvl w:val="0"/>
          <w:numId w:val="20"/>
        </w:numPr>
        <w:jc w:val="both"/>
        <w:rPr>
          <w:rFonts w:eastAsia="Arial MT"/>
          <w:lang w:val="en-US"/>
        </w:rPr>
      </w:pPr>
      <w:hyperlink r:id="rId15" w:tooltip="EIT InnoEnergy's page on the EIT website" w:history="1">
        <w:r w:rsidRPr="00B56F37">
          <w:rPr>
            <w:rStyle w:val="Hyperlink"/>
            <w:rFonts w:eastAsia="Arial MT"/>
            <w:lang w:val="en-US"/>
          </w:rPr>
          <w:t>InnoEnergy</w:t>
        </w:r>
      </w:hyperlink>
      <w:r w:rsidRPr="00B56F37">
        <w:rPr>
          <w:rFonts w:eastAsia="Arial MT"/>
          <w:lang w:val="en-US"/>
        </w:rPr>
        <w:t>: Achieving a sustainable energy future for Europe;</w:t>
      </w:r>
    </w:p>
    <w:p w14:paraId="4E36508D" w14:textId="77777777" w:rsidR="005033AB" w:rsidRPr="00B56F37" w:rsidRDefault="005033AB" w:rsidP="00D90AD3">
      <w:pPr>
        <w:pStyle w:val="ListParagraph"/>
        <w:numPr>
          <w:ilvl w:val="0"/>
          <w:numId w:val="20"/>
        </w:numPr>
        <w:jc w:val="both"/>
        <w:rPr>
          <w:rFonts w:eastAsia="Arial MT"/>
          <w:lang w:val="en-US"/>
        </w:rPr>
      </w:pPr>
      <w:hyperlink r:id="rId16" w:tooltip="EIT Food's page on the EIT website" w:history="1">
        <w:r w:rsidRPr="00B56F37">
          <w:rPr>
            <w:rStyle w:val="Hyperlink"/>
            <w:rFonts w:eastAsia="Arial MT"/>
            <w:lang w:val="en-US"/>
          </w:rPr>
          <w:t>EIT Food</w:t>
        </w:r>
      </w:hyperlink>
      <w:r w:rsidRPr="00B56F37">
        <w:rPr>
          <w:rFonts w:eastAsia="Arial MT"/>
          <w:lang w:val="en-US"/>
        </w:rPr>
        <w:t>: Leading a global revolution in food innovation and production;</w:t>
      </w:r>
    </w:p>
    <w:p w14:paraId="14BD0093" w14:textId="77777777" w:rsidR="005033AB" w:rsidRPr="00B56F37" w:rsidRDefault="005033AB" w:rsidP="00D90AD3">
      <w:pPr>
        <w:pStyle w:val="ListParagraph"/>
        <w:numPr>
          <w:ilvl w:val="0"/>
          <w:numId w:val="20"/>
        </w:numPr>
        <w:jc w:val="both"/>
        <w:rPr>
          <w:rFonts w:eastAsia="Arial MT"/>
          <w:lang w:val="en-US"/>
        </w:rPr>
      </w:pPr>
      <w:hyperlink r:id="rId17" w:tooltip="EIT Health's page on the EIT website" w:history="1">
        <w:r w:rsidRPr="00B56F37">
          <w:rPr>
            <w:rStyle w:val="Hyperlink"/>
            <w:rFonts w:eastAsia="Arial MT"/>
            <w:lang w:val="en-US"/>
          </w:rPr>
          <w:t>EIT Health</w:t>
        </w:r>
      </w:hyperlink>
      <w:r w:rsidRPr="00B56F37">
        <w:rPr>
          <w:rFonts w:eastAsia="Arial MT"/>
          <w:lang w:val="en-US"/>
        </w:rPr>
        <w:t>: Giving EU citizens greater opportunities to enjoy a healthy life;</w:t>
      </w:r>
    </w:p>
    <w:p w14:paraId="71DB23BE" w14:textId="77777777" w:rsidR="005033AB" w:rsidRPr="00B56F37" w:rsidRDefault="005033AB" w:rsidP="00D90AD3">
      <w:pPr>
        <w:pStyle w:val="ListParagraph"/>
        <w:numPr>
          <w:ilvl w:val="0"/>
          <w:numId w:val="20"/>
        </w:numPr>
        <w:jc w:val="both"/>
        <w:rPr>
          <w:rFonts w:eastAsia="Arial MT"/>
          <w:lang w:val="en-US"/>
        </w:rPr>
      </w:pPr>
      <w:hyperlink r:id="rId18" w:history="1">
        <w:r w:rsidRPr="00B56F37">
          <w:rPr>
            <w:rStyle w:val="Hyperlink"/>
            <w:rFonts w:eastAsia="Arial MT"/>
            <w:lang w:val="en-US"/>
          </w:rPr>
          <w:t>EIT Manufacturing</w:t>
        </w:r>
      </w:hyperlink>
      <w:r w:rsidRPr="00B56F37">
        <w:rPr>
          <w:rFonts w:eastAsia="Arial MT"/>
          <w:lang w:val="en-US"/>
        </w:rPr>
        <w:t>: Strengthening and increasing the competitiveness of Europe’s manufacturing industry;</w:t>
      </w:r>
    </w:p>
    <w:p w14:paraId="7EF71686" w14:textId="77777777" w:rsidR="005033AB" w:rsidRPr="00B56F37" w:rsidRDefault="005033AB" w:rsidP="00D90AD3">
      <w:pPr>
        <w:pStyle w:val="ListParagraph"/>
        <w:numPr>
          <w:ilvl w:val="0"/>
          <w:numId w:val="20"/>
        </w:numPr>
        <w:jc w:val="both"/>
        <w:rPr>
          <w:rFonts w:eastAsia="Arial MT"/>
          <w:lang w:val="en-US"/>
        </w:rPr>
      </w:pPr>
      <w:hyperlink r:id="rId19" w:tooltip="EIT Raw Material's page on the EIT website" w:history="1">
        <w:r w:rsidRPr="00B56F37">
          <w:rPr>
            <w:rStyle w:val="Hyperlink"/>
            <w:rFonts w:eastAsia="Arial MT"/>
            <w:lang w:val="en-US"/>
          </w:rPr>
          <w:t xml:space="preserve">EIT </w:t>
        </w:r>
        <w:proofErr w:type="spellStart"/>
        <w:r w:rsidRPr="00B56F37">
          <w:rPr>
            <w:rStyle w:val="Hyperlink"/>
            <w:rFonts w:eastAsia="Arial MT"/>
            <w:lang w:val="en-US"/>
          </w:rPr>
          <w:t>RawMaterials</w:t>
        </w:r>
        <w:proofErr w:type="spellEnd"/>
      </w:hyperlink>
      <w:r w:rsidRPr="00B56F37">
        <w:rPr>
          <w:rFonts w:eastAsia="Arial MT"/>
          <w:lang w:val="en-US"/>
        </w:rPr>
        <w:t xml:space="preserve">: Developing raw materials into a major strength for Europe; </w:t>
      </w:r>
    </w:p>
    <w:p w14:paraId="6827FF19" w14:textId="752BC570" w:rsidR="005033AB" w:rsidRDefault="005033AB" w:rsidP="00D90AD3">
      <w:pPr>
        <w:pStyle w:val="ListParagraph"/>
        <w:numPr>
          <w:ilvl w:val="0"/>
          <w:numId w:val="20"/>
        </w:numPr>
        <w:jc w:val="both"/>
        <w:rPr>
          <w:rFonts w:eastAsia="Arial MT"/>
          <w:lang w:val="en-US"/>
        </w:rPr>
      </w:pPr>
      <w:hyperlink r:id="rId20" w:history="1">
        <w:r w:rsidRPr="00B56F37">
          <w:rPr>
            <w:rStyle w:val="Hyperlink"/>
            <w:rFonts w:eastAsia="Arial MT"/>
            <w:lang w:val="en-US"/>
          </w:rPr>
          <w:t>EIT Urban Mobility</w:t>
        </w:r>
      </w:hyperlink>
      <w:r w:rsidRPr="00B56F37">
        <w:rPr>
          <w:rFonts w:eastAsia="Arial MT"/>
          <w:lang w:val="en-US"/>
        </w:rPr>
        <w:t>: Smart, green and integrated transport</w:t>
      </w:r>
      <w:r w:rsidR="00CF0E02">
        <w:rPr>
          <w:rFonts w:eastAsia="Arial MT"/>
          <w:lang w:val="en-US"/>
        </w:rPr>
        <w:t>;</w:t>
      </w:r>
    </w:p>
    <w:p w14:paraId="5B8BAECB" w14:textId="2B4257CB" w:rsidR="00CF0E02" w:rsidRDefault="00CF0E02" w:rsidP="00D90AD3">
      <w:pPr>
        <w:pStyle w:val="ListParagraph"/>
        <w:numPr>
          <w:ilvl w:val="0"/>
          <w:numId w:val="20"/>
        </w:numPr>
        <w:jc w:val="both"/>
        <w:rPr>
          <w:rFonts w:eastAsia="Arial MT"/>
          <w:lang w:val="en-US"/>
        </w:rPr>
      </w:pPr>
      <w:r w:rsidRPr="00F55A3F">
        <w:rPr>
          <w:rFonts w:eastAsia="Arial MT"/>
          <w:lang w:val="en-US"/>
        </w:rPr>
        <w:t>EIT Culture and Creativity: C</w:t>
      </w:r>
      <w:r>
        <w:rPr>
          <w:rFonts w:eastAsia="Arial MT"/>
          <w:lang w:val="en-US"/>
        </w:rPr>
        <w:t>reatives without borders, innovation without limits.</w:t>
      </w:r>
    </w:p>
    <w:p w14:paraId="0F945C0E" w14:textId="15E63A57" w:rsidR="0005274A" w:rsidRPr="00E535A4" w:rsidRDefault="00E535A4" w:rsidP="00CF5CFC">
      <w:pPr>
        <w:jc w:val="both"/>
        <w:rPr>
          <w:rFonts w:eastAsia="Arial MT"/>
        </w:rPr>
      </w:pPr>
      <w:r w:rsidRPr="2EC773D3">
        <w:rPr>
          <w:rFonts w:eastAsia="Arial MT"/>
        </w:rPr>
        <w:t xml:space="preserve">In this context, on behalf of </w:t>
      </w:r>
      <w:r w:rsidR="3C7AF400" w:rsidRPr="2EC773D3">
        <w:rPr>
          <w:rFonts w:eastAsia="Arial MT"/>
        </w:rPr>
        <w:t xml:space="preserve">the </w:t>
      </w:r>
      <w:r w:rsidRPr="2EC773D3">
        <w:rPr>
          <w:rFonts w:eastAsia="Arial MT"/>
        </w:rPr>
        <w:t>EIT Community SRI Cluster, EIT KIC Urban Mobility S.L. is aiming to conclude</w:t>
      </w:r>
      <w:r w:rsidR="00733568" w:rsidRPr="2EC773D3">
        <w:rPr>
          <w:rFonts w:eastAsia="Arial MT"/>
        </w:rPr>
        <w:t xml:space="preserve"> </w:t>
      </w:r>
      <w:r w:rsidR="006407B4" w:rsidRPr="2EC773D3">
        <w:rPr>
          <w:rFonts w:eastAsia="Arial MT"/>
        </w:rPr>
        <w:t>one</w:t>
      </w:r>
      <w:r w:rsidR="00733568" w:rsidRPr="2EC773D3">
        <w:rPr>
          <w:rFonts w:eastAsia="Arial MT"/>
        </w:rPr>
        <w:t xml:space="preserve"> contract</w:t>
      </w:r>
      <w:r w:rsidR="006407B4" w:rsidRPr="2EC773D3">
        <w:rPr>
          <w:rFonts w:eastAsia="Arial MT"/>
        </w:rPr>
        <w:t xml:space="preserve"> for the entire period stated above</w:t>
      </w:r>
      <w:r w:rsidR="6A155946" w:rsidRPr="2EC773D3">
        <w:rPr>
          <w:rFonts w:eastAsia="Arial MT"/>
        </w:rPr>
        <w:t>, with the possibility of a 1 year extension</w:t>
      </w:r>
      <w:r w:rsidR="00733568" w:rsidRPr="2EC773D3">
        <w:rPr>
          <w:rFonts w:eastAsia="Arial MT"/>
        </w:rPr>
        <w:t xml:space="preserve">. The specifications of the present </w:t>
      </w:r>
      <w:proofErr w:type="spellStart"/>
      <w:r w:rsidR="00733568" w:rsidRPr="2EC773D3">
        <w:rPr>
          <w:rFonts w:eastAsia="Arial MT"/>
        </w:rPr>
        <w:t>RfP</w:t>
      </w:r>
      <w:proofErr w:type="spellEnd"/>
      <w:r w:rsidR="00733568" w:rsidRPr="2EC773D3">
        <w:rPr>
          <w:rFonts w:eastAsia="Arial MT"/>
        </w:rPr>
        <w:t xml:space="preserve"> will become an integral part of the contract. Non-compliance during the implementation phase may lead to early termination by EIT UM.</w:t>
      </w:r>
      <w:r w:rsidRPr="2EC773D3">
        <w:rPr>
          <w:rFonts w:eastAsia="Arial MT"/>
        </w:rPr>
        <w:t xml:space="preserve"> </w:t>
      </w:r>
      <w:bookmarkStart w:id="5" w:name="_Hlk45630530"/>
      <w:bookmarkEnd w:id="3"/>
    </w:p>
    <w:p w14:paraId="0CBC208C" w14:textId="23B0AE28" w:rsidR="00D741C3" w:rsidRDefault="1E64CFEB" w:rsidP="00BF1879">
      <w:pPr>
        <w:pStyle w:val="EITUMHeading1"/>
        <w:ind w:left="1440" w:hanging="1080"/>
      </w:pPr>
      <w:bookmarkStart w:id="6" w:name="_Toc206684750"/>
      <w:bookmarkStart w:id="7" w:name="_Toc1441730817"/>
      <w:bookmarkEnd w:id="4"/>
      <w:r>
        <w:lastRenderedPageBreak/>
        <w:t xml:space="preserve">General </w:t>
      </w:r>
      <w:r w:rsidR="00825D72">
        <w:t>O</w:t>
      </w:r>
      <w:r>
        <w:t xml:space="preserve">bjectives and </w:t>
      </w:r>
      <w:r w:rsidR="00825D72">
        <w:t>S</w:t>
      </w:r>
      <w:r>
        <w:t xml:space="preserve">cope of </w:t>
      </w:r>
      <w:r w:rsidR="00825D72">
        <w:t>W</w:t>
      </w:r>
      <w:r>
        <w:t>ork</w:t>
      </w:r>
      <w:bookmarkEnd w:id="6"/>
      <w:r w:rsidR="666A0BF4">
        <w:t xml:space="preserve"> </w:t>
      </w:r>
    </w:p>
    <w:p w14:paraId="72D08C6F" w14:textId="3647EC01" w:rsidR="2B586B36" w:rsidRDefault="5AE1E02D" w:rsidP="426DE8F5">
      <w:pPr>
        <w:pStyle w:val="Heading2"/>
        <w:ind w:left="0" w:right="1282"/>
        <w:jc w:val="both"/>
        <w:rPr>
          <w:rFonts w:eastAsia="Times New Roman" w:cs="Calibri Light"/>
          <w:b w:val="0"/>
          <w:bCs w:val="0"/>
          <w:lang w:eastAsia="sv-SE"/>
        </w:rPr>
      </w:pPr>
      <w:bookmarkStart w:id="8" w:name="_Toc206684751"/>
      <w:r w:rsidRPr="7295751F">
        <w:rPr>
          <w:rFonts w:eastAsia="Times New Roman" w:cs="Calibri Light"/>
          <w:b w:val="0"/>
          <w:bCs w:val="0"/>
          <w:lang w:eastAsia="sv-SE"/>
        </w:rPr>
        <w:t>2.1 General objectives</w:t>
      </w:r>
      <w:bookmarkEnd w:id="8"/>
    </w:p>
    <w:p w14:paraId="706BF254" w14:textId="00C2E9F7" w:rsidR="2B586B36" w:rsidRDefault="2B586B36" w:rsidP="426DE8F5">
      <w:pPr>
        <w:jc w:val="both"/>
      </w:pPr>
      <w:r>
        <w:t>By the present procurement procedure, EIT Urban Mobility, hereinafter being referred to as “EIT UM”, on behal</w:t>
      </w:r>
      <w:r w:rsidR="27B476C1">
        <w:t>f</w:t>
      </w:r>
      <w:r>
        <w:t xml:space="preserve"> of the EIT Community SRI Cluster is seeking professional support for </w:t>
      </w:r>
      <w:r w:rsidR="1673998A">
        <w:t>the coordination and implementation of the EIT Community Hub activities in Bulgaria</w:t>
      </w:r>
      <w:r>
        <w:t xml:space="preserve">, by appointing </w:t>
      </w:r>
      <w:r w:rsidR="3680933E">
        <w:t>a qualified supplier to fulfil the role(s) of the EIT Community Officer(s)</w:t>
      </w:r>
      <w:r>
        <w:t xml:space="preserve"> (hereinafter being referred to as “</w:t>
      </w:r>
      <w:r w:rsidR="7C803AC7">
        <w:t>ECO</w:t>
      </w:r>
      <w:r>
        <w:t xml:space="preserve">”). This document, along with its annexes, constitute a Request for Proposal (RFP) issued by EIT Urban Mobility for a potential procurement of services in the field of </w:t>
      </w:r>
      <w:r w:rsidR="1C1406DE">
        <w:t xml:space="preserve">innovation ecosystem engagement, stakeholder mobilisation and support for the EIT Community Hub in Bulgaria. </w:t>
      </w:r>
    </w:p>
    <w:p w14:paraId="18B5E80D" w14:textId="185199A7" w:rsidR="00425622" w:rsidRPr="00425622" w:rsidRDefault="00425622" w:rsidP="00646A80">
      <w:pPr>
        <w:jc w:val="both"/>
      </w:pPr>
      <w:r>
        <w:t xml:space="preserve">Applicants </w:t>
      </w:r>
      <w:r w:rsidRPr="00A10DA4">
        <w:rPr>
          <w:b/>
          <w:bCs/>
          <w:u w:val="single"/>
        </w:rPr>
        <w:t>must</w:t>
      </w:r>
      <w:r>
        <w:t xml:space="preserve"> be</w:t>
      </w:r>
      <w:r w:rsidR="00A10DA4">
        <w:t xml:space="preserve"> a</w:t>
      </w:r>
      <w:r>
        <w:t xml:space="preserve"> legally registered enti</w:t>
      </w:r>
      <w:r w:rsidR="00A10DA4">
        <w:t>ty</w:t>
      </w:r>
      <w:r>
        <w:t xml:space="preserve"> or a consortium of legal entities, with a physical presence in Bulgaria. Proposals submitted by natural persons will </w:t>
      </w:r>
      <w:r w:rsidRPr="00A10DA4">
        <w:rPr>
          <w:b/>
          <w:bCs/>
          <w:u w:val="single"/>
        </w:rPr>
        <w:t>not</w:t>
      </w:r>
      <w:r>
        <w:t xml:space="preserve"> be accepted. Each applicant must provide evidence of official registration (e.g. company registration certificate, NGO license, or equivalent documentation demonstrating legal status in Bulgaria).</w:t>
      </w:r>
    </w:p>
    <w:p w14:paraId="159406B4" w14:textId="77777777" w:rsidR="00425622" w:rsidRPr="00425622" w:rsidRDefault="00425622" w:rsidP="00646A80">
      <w:pPr>
        <w:jc w:val="both"/>
      </w:pPr>
      <w:r w:rsidRPr="00425622">
        <w:t>Applicants must meet the following eligibility conditions:</w:t>
      </w:r>
    </w:p>
    <w:p w14:paraId="6AD1E1E8" w14:textId="7C640885" w:rsidR="00425622" w:rsidRPr="00425622" w:rsidRDefault="71641630" w:rsidP="00D90AD3">
      <w:pPr>
        <w:pStyle w:val="ListParagraph"/>
        <w:numPr>
          <w:ilvl w:val="0"/>
          <w:numId w:val="24"/>
        </w:numPr>
        <w:jc w:val="both"/>
      </w:pPr>
      <w:r>
        <w:t xml:space="preserve">Single </w:t>
      </w:r>
      <w:r w:rsidR="00425622">
        <w:t>Legal Entity: If the applicant is applying as a single entity, it must be registered in Bulgaria and must operate as a recognized legal entity.</w:t>
      </w:r>
    </w:p>
    <w:p w14:paraId="10D47C2B" w14:textId="11719415" w:rsidR="00425622" w:rsidRPr="00425622" w:rsidRDefault="00425622" w:rsidP="00D90AD3">
      <w:pPr>
        <w:pStyle w:val="ListParagraph"/>
        <w:numPr>
          <w:ilvl w:val="0"/>
          <w:numId w:val="24"/>
        </w:numPr>
        <w:jc w:val="both"/>
      </w:pPr>
      <w:r>
        <w:t xml:space="preserve">Consortium: Proposals may </w:t>
      </w:r>
      <w:r w:rsidR="1D79652D">
        <w:t xml:space="preserve">alternatively </w:t>
      </w:r>
      <w:r>
        <w:t>be submitted by a consortium of legal entities. In such cases, one legal entity must be designated as the lead coordinator and contracting party</w:t>
      </w:r>
      <w:r w:rsidR="14C76AE8">
        <w:t>, and all consortium entities must be registered in Bulgaria</w:t>
      </w:r>
      <w:r>
        <w:t>. A consortium agreement outlining roles and responsibilities must be submitted with the application.</w:t>
      </w:r>
    </w:p>
    <w:p w14:paraId="42AC2CE7" w14:textId="14FAB256" w:rsidR="00425622" w:rsidRPr="00425622" w:rsidRDefault="00425622" w:rsidP="00D90AD3">
      <w:pPr>
        <w:pStyle w:val="ListParagraph"/>
        <w:numPr>
          <w:ilvl w:val="0"/>
          <w:numId w:val="24"/>
        </w:numPr>
        <w:jc w:val="both"/>
      </w:pPr>
      <w:r w:rsidRPr="00425622">
        <w:t>Physical Presence: All the applicants should have a physical presence in Bulgaria. If the applicant is a consortium, the different</w:t>
      </w:r>
      <w:r>
        <w:t xml:space="preserve"> entities that are part of the application should have physical presence in Bulgaria as well</w:t>
      </w:r>
      <w:r w:rsidRPr="00425622">
        <w:t>, such as a registered office or permanent operational base.</w:t>
      </w:r>
    </w:p>
    <w:p w14:paraId="14CF2DBD" w14:textId="230E263D" w:rsidR="00425622" w:rsidRPr="00425622" w:rsidRDefault="00425622" w:rsidP="00646A80">
      <w:pPr>
        <w:jc w:val="both"/>
      </w:pPr>
      <w:r w:rsidRPr="00425622">
        <w:t>Please note</w:t>
      </w:r>
      <w:r w:rsidR="00646A80">
        <w:t xml:space="preserve"> that p</w:t>
      </w:r>
      <w:r w:rsidRPr="00425622">
        <w:t xml:space="preserve">roposals submitted by individuals (natural persons) are </w:t>
      </w:r>
      <w:r w:rsidRPr="00C9340C">
        <w:rPr>
          <w:b/>
          <w:bCs/>
        </w:rPr>
        <w:t>not eligible</w:t>
      </w:r>
      <w:r w:rsidRPr="00425622">
        <w:t>.</w:t>
      </w:r>
      <w:r w:rsidR="00646A80">
        <w:t xml:space="preserve"> Moreover, o</w:t>
      </w:r>
      <w:r w:rsidRPr="00425622">
        <w:t>nly one proposal per applicant (individual entity or consortium) is allowed. Submitting multiple proposals under different consortium configurations may result in disqualification.</w:t>
      </w:r>
    </w:p>
    <w:p w14:paraId="2141E579" w14:textId="2996D28B" w:rsidR="004E3EE2" w:rsidRDefault="45D9F416" w:rsidP="00646A80">
      <w:pPr>
        <w:jc w:val="both"/>
      </w:pPr>
      <w:r>
        <w:t xml:space="preserve">The candidates have to propose </w:t>
      </w:r>
      <w:r w:rsidR="5D28C23D">
        <w:t>one or two</w:t>
      </w:r>
      <w:r w:rsidR="4AF1B141">
        <w:t xml:space="preserve"> potential</w:t>
      </w:r>
      <w:r>
        <w:t xml:space="preserve"> EIT Community Officer</w:t>
      </w:r>
      <w:r w:rsidR="5D28C23D">
        <w:t>(s)</w:t>
      </w:r>
      <w:r w:rsidR="4F6C3D2A">
        <w:t xml:space="preserve"> (proposed experts)</w:t>
      </w:r>
      <w:r>
        <w:t>, who will be assessed and take part in the selection process, including the interview</w:t>
      </w:r>
      <w:r w:rsidR="66C1D221">
        <w:t xml:space="preserve"> phase</w:t>
      </w:r>
      <w:r>
        <w:t xml:space="preserve">. If the candidate is awarded, the entity will have to nominate that same proposed </w:t>
      </w:r>
      <w:r w:rsidR="4F6C3D2A">
        <w:t xml:space="preserve">expert(s) as ECO(s). </w:t>
      </w:r>
    </w:p>
    <w:p w14:paraId="5E74B46C" w14:textId="6693B213" w:rsidR="7DF82001" w:rsidRDefault="5F7EE4D8" w:rsidP="426DE8F5">
      <w:pPr>
        <w:pStyle w:val="Heading2"/>
        <w:ind w:left="0" w:right="1282"/>
        <w:jc w:val="both"/>
        <w:rPr>
          <w:rFonts w:eastAsia="Times New Roman" w:cs="Calibri Light"/>
          <w:b w:val="0"/>
          <w:bCs w:val="0"/>
          <w:lang w:eastAsia="sv-SE"/>
        </w:rPr>
      </w:pPr>
      <w:bookmarkStart w:id="9" w:name="_Toc206684752"/>
      <w:r w:rsidRPr="7295751F">
        <w:rPr>
          <w:rFonts w:eastAsia="Times New Roman" w:cs="Calibri Light"/>
          <w:b w:val="0"/>
          <w:bCs w:val="0"/>
          <w:lang w:eastAsia="sv-SE"/>
        </w:rPr>
        <w:lastRenderedPageBreak/>
        <w:t>2.2 Detailed scope of work</w:t>
      </w:r>
      <w:bookmarkEnd w:id="9"/>
    </w:p>
    <w:p w14:paraId="14A71ADD" w14:textId="7F54E9B7" w:rsidR="7DF82001" w:rsidRDefault="7DF82001" w:rsidP="426DE8F5">
      <w:pPr>
        <w:rPr>
          <w:rFonts w:eastAsia="MS Mincho" w:cs="Arial"/>
          <w:szCs w:val="20"/>
        </w:rPr>
      </w:pPr>
      <w:r w:rsidRPr="426DE8F5">
        <w:rPr>
          <w:rFonts w:eastAsia="MS Mincho" w:cs="Arial"/>
          <w:szCs w:val="20"/>
        </w:rPr>
        <w:t>The overall objective of this Request for Proposals (</w:t>
      </w:r>
      <w:proofErr w:type="spellStart"/>
      <w:r w:rsidRPr="426DE8F5">
        <w:rPr>
          <w:rFonts w:eastAsia="MS Mincho" w:cs="Arial"/>
          <w:szCs w:val="20"/>
        </w:rPr>
        <w:t>RfP</w:t>
      </w:r>
      <w:proofErr w:type="spellEnd"/>
      <w:r w:rsidRPr="426DE8F5">
        <w:rPr>
          <w:rFonts w:eastAsia="MS Mincho" w:cs="Arial"/>
          <w:szCs w:val="20"/>
        </w:rPr>
        <w:t xml:space="preserve">) is to identify a qualified supplier (individual legal entity or consortium) to act as the </w:t>
      </w:r>
      <w:r w:rsidRPr="426DE8F5">
        <w:rPr>
          <w:rFonts w:eastAsia="MS Mincho" w:cs="Arial"/>
          <w:b/>
          <w:bCs/>
          <w:szCs w:val="20"/>
        </w:rPr>
        <w:t>EIT Community Officer (ECO)</w:t>
      </w:r>
      <w:r w:rsidRPr="426DE8F5">
        <w:rPr>
          <w:rFonts w:eastAsia="MS Mincho" w:cs="Arial"/>
          <w:szCs w:val="20"/>
        </w:rPr>
        <w:t xml:space="preserve"> in </w:t>
      </w:r>
      <w:r w:rsidRPr="426DE8F5">
        <w:rPr>
          <w:rFonts w:eastAsia="MS Mincho" w:cs="Arial"/>
          <w:b/>
          <w:bCs/>
          <w:szCs w:val="20"/>
        </w:rPr>
        <w:t>Bulgaria</w:t>
      </w:r>
      <w:r w:rsidRPr="426DE8F5">
        <w:rPr>
          <w:rFonts w:eastAsia="MS Mincho" w:cs="Arial"/>
          <w:szCs w:val="20"/>
        </w:rPr>
        <w:t>, serving as the operational and coordination focal point for EIT Community activities at the national, regional, and local levels.</w:t>
      </w:r>
    </w:p>
    <w:p w14:paraId="4BA079D7" w14:textId="0375F964" w:rsidR="7DF82001" w:rsidRDefault="7DF82001" w:rsidP="426DE8F5">
      <w:pPr>
        <w:rPr>
          <w:rFonts w:eastAsia="MS Mincho" w:cs="Arial"/>
          <w:szCs w:val="20"/>
        </w:rPr>
      </w:pPr>
      <w:r w:rsidRPr="426DE8F5">
        <w:rPr>
          <w:rFonts w:eastAsia="MS Mincho" w:cs="Arial"/>
          <w:szCs w:val="20"/>
        </w:rPr>
        <w:t>The selected supplier will:</w:t>
      </w:r>
    </w:p>
    <w:p w14:paraId="4CB63956" w14:textId="0FC117C0" w:rsidR="7DF82001" w:rsidRDefault="7DF82001" w:rsidP="00D90AD3">
      <w:pPr>
        <w:numPr>
          <w:ilvl w:val="0"/>
          <w:numId w:val="9"/>
        </w:numPr>
        <w:rPr>
          <w:rFonts w:eastAsia="MS Mincho" w:cs="Arial"/>
          <w:szCs w:val="20"/>
        </w:rPr>
      </w:pPr>
      <w:r w:rsidRPr="426DE8F5">
        <w:rPr>
          <w:rFonts w:eastAsia="MS Mincho" w:cs="Arial"/>
          <w:szCs w:val="20"/>
        </w:rPr>
        <w:t>Enhance the visibility and impact of the EIT Community in Bulgaria.</w:t>
      </w:r>
    </w:p>
    <w:p w14:paraId="564CC269" w14:textId="7289ABBF" w:rsidR="7DF82001" w:rsidRDefault="7DF82001" w:rsidP="00D90AD3">
      <w:pPr>
        <w:numPr>
          <w:ilvl w:val="0"/>
          <w:numId w:val="9"/>
        </w:numPr>
        <w:rPr>
          <w:rFonts w:eastAsia="MS Mincho" w:cs="Arial"/>
          <w:szCs w:val="20"/>
        </w:rPr>
      </w:pPr>
      <w:r w:rsidRPr="426DE8F5">
        <w:rPr>
          <w:rFonts w:eastAsia="MS Mincho" w:cs="Arial"/>
          <w:szCs w:val="20"/>
        </w:rPr>
        <w:t>Facilitate stakeholder engagement, foster collaboration among EIT Knowledge and Innovation Communities (KICs), and support innovation uptake.</w:t>
      </w:r>
    </w:p>
    <w:p w14:paraId="227AD55E" w14:textId="62DCA038" w:rsidR="7DF82001" w:rsidRDefault="7DF82001" w:rsidP="00D90AD3">
      <w:pPr>
        <w:numPr>
          <w:ilvl w:val="0"/>
          <w:numId w:val="9"/>
        </w:numPr>
        <w:rPr>
          <w:rFonts w:eastAsia="MS Mincho" w:cs="Arial"/>
          <w:szCs w:val="20"/>
        </w:rPr>
      </w:pPr>
      <w:r w:rsidRPr="426DE8F5">
        <w:rPr>
          <w:rFonts w:eastAsia="MS Mincho" w:cs="Arial"/>
          <w:szCs w:val="20"/>
        </w:rPr>
        <w:t>Act as the single contact point for EIT Community activities, offering tailored support to local stakeholders and facilitating access to EIT opportunities.</w:t>
      </w:r>
    </w:p>
    <w:p w14:paraId="3E0C04AF" w14:textId="4C873898" w:rsidR="7DF82001" w:rsidRDefault="7DF82001" w:rsidP="00D90AD3">
      <w:pPr>
        <w:numPr>
          <w:ilvl w:val="0"/>
          <w:numId w:val="9"/>
        </w:numPr>
        <w:rPr>
          <w:rFonts w:eastAsia="MS Mincho" w:cs="Arial"/>
          <w:szCs w:val="20"/>
        </w:rPr>
      </w:pPr>
      <w:r w:rsidRPr="426DE8F5">
        <w:rPr>
          <w:rFonts w:eastAsia="MS Mincho" w:cs="Arial"/>
          <w:szCs w:val="20"/>
        </w:rPr>
        <w:t>Implement a coordinated set of actions aligned with the EIT RIS Implementation Framework and the EIT Community Officer Performance Monitoring and Evaluation Guidelines.</w:t>
      </w:r>
    </w:p>
    <w:p w14:paraId="7D3831D9" w14:textId="67823DD2" w:rsidR="7DF82001" w:rsidRDefault="7DF82001" w:rsidP="426DE8F5">
      <w:pPr>
        <w:rPr>
          <w:rFonts w:eastAsia="MS Mincho" w:cs="Arial"/>
          <w:szCs w:val="20"/>
        </w:rPr>
      </w:pPr>
      <w:r w:rsidRPr="426DE8F5">
        <w:rPr>
          <w:rFonts w:eastAsia="MS Mincho" w:cs="Arial"/>
          <w:szCs w:val="20"/>
        </w:rPr>
        <w:t xml:space="preserve">The contract will cover the </w:t>
      </w:r>
      <w:r w:rsidRPr="00A53768">
        <w:rPr>
          <w:rFonts w:eastAsia="MS Mincho" w:cs="Arial"/>
          <w:szCs w:val="20"/>
        </w:rPr>
        <w:t>period 1</w:t>
      </w:r>
      <w:r w:rsidR="00A10DA4" w:rsidRPr="00A53768">
        <w:rPr>
          <w:rFonts w:eastAsia="MS Mincho" w:cs="Arial"/>
          <w:szCs w:val="20"/>
          <w:vertAlign w:val="superscript"/>
        </w:rPr>
        <w:t>st</w:t>
      </w:r>
      <w:r w:rsidRPr="00A53768">
        <w:rPr>
          <w:rFonts w:eastAsia="MS Mincho" w:cs="Arial"/>
          <w:szCs w:val="20"/>
        </w:rPr>
        <w:t xml:space="preserve"> November 2025 to 31</w:t>
      </w:r>
      <w:r w:rsidR="00A10DA4" w:rsidRPr="00A53768">
        <w:rPr>
          <w:rFonts w:eastAsia="MS Mincho" w:cs="Arial"/>
          <w:szCs w:val="20"/>
          <w:vertAlign w:val="superscript"/>
        </w:rPr>
        <w:t>st</w:t>
      </w:r>
      <w:r w:rsidRPr="00A53768">
        <w:rPr>
          <w:rFonts w:eastAsia="MS Mincho" w:cs="Arial"/>
          <w:szCs w:val="20"/>
        </w:rPr>
        <w:t xml:space="preserve"> December 2027, with a possible 12-month extension in 2028 subject to performance and funding availability.</w:t>
      </w:r>
    </w:p>
    <w:p w14:paraId="0B8AC945" w14:textId="1E0516B7" w:rsidR="7DF82001" w:rsidRDefault="7DF82001" w:rsidP="426DE8F5">
      <w:pPr>
        <w:rPr>
          <w:rFonts w:eastAsia="MS Mincho" w:cs="Arial"/>
          <w:szCs w:val="20"/>
        </w:rPr>
      </w:pPr>
      <w:r w:rsidRPr="426DE8F5">
        <w:rPr>
          <w:rFonts w:eastAsia="MS Mincho" w:cs="Arial"/>
          <w:szCs w:val="20"/>
        </w:rPr>
        <w:t xml:space="preserve">The appointed ECO will be responsible for implementing activities across the following four work packages, as defined in this </w:t>
      </w:r>
      <w:proofErr w:type="spellStart"/>
      <w:r w:rsidRPr="426DE8F5">
        <w:rPr>
          <w:rFonts w:eastAsia="MS Mincho" w:cs="Arial"/>
          <w:szCs w:val="20"/>
        </w:rPr>
        <w:t>RfP</w:t>
      </w:r>
      <w:proofErr w:type="spellEnd"/>
      <w:r w:rsidRPr="426DE8F5">
        <w:rPr>
          <w:rFonts w:eastAsia="MS Mincho" w:cs="Arial"/>
          <w:szCs w:val="20"/>
        </w:rPr>
        <w:t>:</w:t>
      </w:r>
    </w:p>
    <w:p w14:paraId="66749680" w14:textId="2C8A46C8" w:rsidR="7DF82001" w:rsidRDefault="7DF82001" w:rsidP="1FCB43CC">
      <w:pPr>
        <w:rPr>
          <w:rFonts w:eastAsia="MS Mincho" w:cs="Arial"/>
          <w:b/>
          <w:bCs/>
        </w:rPr>
      </w:pPr>
      <w:r w:rsidRPr="1FCB43CC">
        <w:rPr>
          <w:rFonts w:eastAsia="MS Mincho" w:cs="Arial"/>
          <w:b/>
          <w:bCs/>
        </w:rPr>
        <w:t xml:space="preserve">Work Package </w:t>
      </w:r>
      <w:r w:rsidR="0040660E">
        <w:rPr>
          <w:rFonts w:eastAsia="MS Mincho" w:cs="Arial"/>
          <w:b/>
          <w:bCs/>
        </w:rPr>
        <w:t>0</w:t>
      </w:r>
      <w:r w:rsidRPr="1FCB43CC">
        <w:rPr>
          <w:rFonts w:eastAsia="MS Mincho" w:cs="Arial"/>
          <w:b/>
          <w:bCs/>
        </w:rPr>
        <w:t>: Administration and Coordination</w:t>
      </w:r>
    </w:p>
    <w:p w14:paraId="5ACEDC2F" w14:textId="17D74209" w:rsidR="7DF82001" w:rsidRDefault="7DF82001" w:rsidP="00D90AD3">
      <w:pPr>
        <w:numPr>
          <w:ilvl w:val="0"/>
          <w:numId w:val="8"/>
        </w:numPr>
        <w:rPr>
          <w:rFonts w:eastAsia="MS Mincho" w:cs="Arial"/>
          <w:szCs w:val="20"/>
        </w:rPr>
      </w:pPr>
      <w:r w:rsidRPr="426DE8F5">
        <w:rPr>
          <w:rFonts w:eastAsia="MS Mincho" w:cs="Arial"/>
          <w:szCs w:val="20"/>
        </w:rPr>
        <w:t>Set up and maintain a branded physical presence in Bulgaria.</w:t>
      </w:r>
    </w:p>
    <w:p w14:paraId="6F64774D" w14:textId="7984569D" w:rsidR="7DF82001" w:rsidRDefault="7DF82001" w:rsidP="00D90AD3">
      <w:pPr>
        <w:numPr>
          <w:ilvl w:val="0"/>
          <w:numId w:val="8"/>
        </w:numPr>
        <w:rPr>
          <w:rFonts w:eastAsia="MS Mincho" w:cs="Arial"/>
          <w:szCs w:val="20"/>
        </w:rPr>
      </w:pPr>
      <w:r w:rsidRPr="426DE8F5">
        <w:rPr>
          <w:rFonts w:eastAsia="MS Mincho" w:cs="Arial"/>
          <w:szCs w:val="20"/>
        </w:rPr>
        <w:t>Establish and maintain coordination mechanisms among EIT Community Hub members.</w:t>
      </w:r>
    </w:p>
    <w:p w14:paraId="4EB5179C" w14:textId="19F14160" w:rsidR="7DF82001" w:rsidRDefault="7DF82001" w:rsidP="00D90AD3">
      <w:pPr>
        <w:numPr>
          <w:ilvl w:val="0"/>
          <w:numId w:val="8"/>
        </w:numPr>
        <w:rPr>
          <w:rFonts w:eastAsia="MS Mincho" w:cs="Arial"/>
          <w:szCs w:val="20"/>
        </w:rPr>
      </w:pPr>
      <w:r w:rsidRPr="426DE8F5">
        <w:rPr>
          <w:rFonts w:eastAsia="MS Mincho" w:cs="Arial"/>
          <w:szCs w:val="20"/>
        </w:rPr>
        <w:t>Contribute to strategic alignment with national authorities, innovation stakeholders, and other EU-supported networks.</w:t>
      </w:r>
    </w:p>
    <w:p w14:paraId="6B1E3C37" w14:textId="191F5828" w:rsidR="7DF82001" w:rsidRDefault="7DF82001" w:rsidP="00D90AD3">
      <w:pPr>
        <w:numPr>
          <w:ilvl w:val="0"/>
          <w:numId w:val="8"/>
        </w:numPr>
        <w:rPr>
          <w:rFonts w:eastAsia="MS Mincho" w:cs="Arial"/>
          <w:szCs w:val="20"/>
        </w:rPr>
      </w:pPr>
      <w:r w:rsidRPr="426DE8F5">
        <w:rPr>
          <w:rFonts w:eastAsia="MS Mincho" w:cs="Arial"/>
          <w:szCs w:val="20"/>
        </w:rPr>
        <w:t>Collect and share intelligence about the local innovation ecosystem, including needs, opportunities, and challenges.</w:t>
      </w:r>
    </w:p>
    <w:p w14:paraId="7DC0D06F" w14:textId="7C84584B" w:rsidR="7DF82001" w:rsidRDefault="7DF82001" w:rsidP="00D90AD3">
      <w:pPr>
        <w:numPr>
          <w:ilvl w:val="0"/>
          <w:numId w:val="8"/>
        </w:numPr>
        <w:rPr>
          <w:rFonts w:eastAsia="MS Mincho" w:cs="Arial"/>
          <w:szCs w:val="20"/>
        </w:rPr>
      </w:pPr>
      <w:r w:rsidRPr="426DE8F5">
        <w:rPr>
          <w:rFonts w:eastAsia="MS Mincho" w:cs="Arial"/>
          <w:szCs w:val="20"/>
        </w:rPr>
        <w:t>Coordinate local EIT Community branding, internal communication, and information exchange.</w:t>
      </w:r>
    </w:p>
    <w:p w14:paraId="60628318" w14:textId="19AF4120" w:rsidR="7DF82001" w:rsidRDefault="7DF82001" w:rsidP="1FCB43CC">
      <w:pPr>
        <w:rPr>
          <w:rFonts w:eastAsia="MS Mincho" w:cs="Arial"/>
          <w:b/>
          <w:bCs/>
        </w:rPr>
      </w:pPr>
      <w:r w:rsidRPr="1FCB43CC">
        <w:rPr>
          <w:rFonts w:eastAsia="MS Mincho" w:cs="Arial"/>
          <w:b/>
          <w:bCs/>
        </w:rPr>
        <w:t xml:space="preserve">Work Package </w:t>
      </w:r>
      <w:r w:rsidR="0040660E">
        <w:rPr>
          <w:rFonts w:eastAsia="MS Mincho" w:cs="Arial"/>
          <w:b/>
          <w:bCs/>
        </w:rPr>
        <w:t>1</w:t>
      </w:r>
      <w:r w:rsidRPr="1FCB43CC">
        <w:rPr>
          <w:rFonts w:eastAsia="MS Mincho" w:cs="Arial"/>
          <w:b/>
          <w:bCs/>
        </w:rPr>
        <w:t>: Local Community Development</w:t>
      </w:r>
    </w:p>
    <w:p w14:paraId="4325096A" w14:textId="6FEAA07D" w:rsidR="7DF82001" w:rsidRDefault="7DF82001" w:rsidP="00D90AD3">
      <w:pPr>
        <w:numPr>
          <w:ilvl w:val="0"/>
          <w:numId w:val="7"/>
        </w:numPr>
        <w:rPr>
          <w:rFonts w:eastAsia="MS Mincho" w:cs="Arial"/>
          <w:szCs w:val="20"/>
        </w:rPr>
      </w:pPr>
      <w:r w:rsidRPr="426DE8F5">
        <w:rPr>
          <w:rFonts w:eastAsia="MS Mincho" w:cs="Arial"/>
          <w:szCs w:val="20"/>
        </w:rPr>
        <w:t>Serve as the primary entry point for local stakeholders interested in EIT activities.</w:t>
      </w:r>
    </w:p>
    <w:p w14:paraId="24CAAB2B" w14:textId="261B12C9" w:rsidR="7DF82001" w:rsidRDefault="5F7EE4D8" w:rsidP="7295751F">
      <w:pPr>
        <w:jc w:val="both"/>
        <w:rPr>
          <w:rFonts w:asciiTheme="minorHAnsi" w:hAnsiTheme="minorHAnsi"/>
          <w:szCs w:val="20"/>
        </w:rPr>
      </w:pPr>
      <w:r w:rsidRPr="7295751F">
        <w:rPr>
          <w:rFonts w:eastAsia="MS Mincho" w:cs="Arial"/>
        </w:rPr>
        <w:t>Support applications to RI&amp;I</w:t>
      </w:r>
      <w:r w:rsidR="0E6BF943" w:rsidRPr="7295751F">
        <w:rPr>
          <w:rFonts w:eastAsia="MS Mincho" w:cs="Arial"/>
        </w:rPr>
        <w:t xml:space="preserve"> (Regional Innovation</w:t>
      </w:r>
      <w:r w:rsidR="6AC123A6" w:rsidRPr="7295751F">
        <w:rPr>
          <w:rFonts w:eastAsia="MS Mincho" w:cs="Arial"/>
        </w:rPr>
        <w:t>s</w:t>
      </w:r>
      <w:r w:rsidR="0E6BF943" w:rsidRPr="7295751F">
        <w:rPr>
          <w:rFonts w:eastAsia="MS Mincho" w:cs="Arial"/>
        </w:rPr>
        <w:t xml:space="preserve"> and Internationali</w:t>
      </w:r>
      <w:r w:rsidR="3B146727" w:rsidRPr="7295751F">
        <w:rPr>
          <w:rFonts w:eastAsia="MS Mincho" w:cs="Arial"/>
        </w:rPr>
        <w:t>s</w:t>
      </w:r>
      <w:r w:rsidR="0E6BF943" w:rsidRPr="7295751F">
        <w:rPr>
          <w:rFonts w:eastAsia="MS Mincho" w:cs="Arial"/>
        </w:rPr>
        <w:t xml:space="preserve">ation) </w:t>
      </w:r>
      <w:r w:rsidRPr="7295751F">
        <w:rPr>
          <w:rFonts w:eastAsia="MS Mincho" w:cs="Arial"/>
        </w:rPr>
        <w:t>Cluster and individual KIC calls in innovation, education, and business creation.</w:t>
      </w:r>
    </w:p>
    <w:p w14:paraId="071797A6" w14:textId="413572EC" w:rsidR="7DF82001" w:rsidRDefault="7DF82001" w:rsidP="00D90AD3">
      <w:pPr>
        <w:numPr>
          <w:ilvl w:val="0"/>
          <w:numId w:val="7"/>
        </w:numPr>
        <w:rPr>
          <w:rFonts w:eastAsia="MS Mincho" w:cs="Arial"/>
          <w:szCs w:val="20"/>
        </w:rPr>
      </w:pPr>
      <w:r w:rsidRPr="426DE8F5">
        <w:rPr>
          <w:rFonts w:eastAsia="MS Mincho" w:cs="Arial"/>
          <w:szCs w:val="20"/>
        </w:rPr>
        <w:t>Implement outreach and communication activities.</w:t>
      </w:r>
    </w:p>
    <w:p w14:paraId="7E35CF27" w14:textId="64EC6885" w:rsidR="7DF82001" w:rsidRDefault="7DF82001" w:rsidP="00D90AD3">
      <w:pPr>
        <w:numPr>
          <w:ilvl w:val="0"/>
          <w:numId w:val="7"/>
        </w:numPr>
        <w:rPr>
          <w:rFonts w:eastAsia="MS Mincho" w:cs="Arial"/>
          <w:szCs w:val="20"/>
        </w:rPr>
      </w:pPr>
      <w:r w:rsidRPr="426DE8F5">
        <w:rPr>
          <w:rFonts w:eastAsia="MS Mincho" w:cs="Arial"/>
          <w:szCs w:val="20"/>
        </w:rPr>
        <w:lastRenderedPageBreak/>
        <w:t>Engage local intermediaries such as universities, incubators, or innovation agencies.</w:t>
      </w:r>
    </w:p>
    <w:p w14:paraId="14943495" w14:textId="19917871" w:rsidR="7DF82001" w:rsidRDefault="7DF82001" w:rsidP="1FCB43CC">
      <w:pPr>
        <w:rPr>
          <w:rFonts w:eastAsia="MS Mincho" w:cs="Arial"/>
          <w:b/>
          <w:bCs/>
        </w:rPr>
      </w:pPr>
      <w:r w:rsidRPr="1FCB43CC">
        <w:rPr>
          <w:rFonts w:eastAsia="MS Mincho" w:cs="Arial"/>
          <w:b/>
          <w:bCs/>
        </w:rPr>
        <w:t xml:space="preserve">Work Package </w:t>
      </w:r>
      <w:r w:rsidR="0040660E">
        <w:rPr>
          <w:rFonts w:eastAsia="MS Mincho" w:cs="Arial"/>
          <w:b/>
          <w:bCs/>
        </w:rPr>
        <w:t>2</w:t>
      </w:r>
      <w:r w:rsidRPr="1FCB43CC">
        <w:rPr>
          <w:rFonts w:eastAsia="MS Mincho" w:cs="Arial"/>
          <w:b/>
          <w:bCs/>
        </w:rPr>
        <w:t>: Business Development for Financial Sustainability</w:t>
      </w:r>
    </w:p>
    <w:p w14:paraId="7E79F3A4" w14:textId="47B219D3" w:rsidR="7DF82001" w:rsidRDefault="7DF82001" w:rsidP="00D90AD3">
      <w:pPr>
        <w:numPr>
          <w:ilvl w:val="0"/>
          <w:numId w:val="6"/>
        </w:numPr>
        <w:rPr>
          <w:rFonts w:eastAsia="MS Mincho" w:cs="Arial"/>
          <w:szCs w:val="20"/>
        </w:rPr>
      </w:pPr>
      <w:r w:rsidRPr="426DE8F5">
        <w:rPr>
          <w:rFonts w:eastAsia="MS Mincho" w:cs="Arial"/>
          <w:szCs w:val="20"/>
        </w:rPr>
        <w:t>Generate leads to support the financial sustainability of both the RI&amp;I Cluster and individual KICs.</w:t>
      </w:r>
    </w:p>
    <w:p w14:paraId="209CAEF4" w14:textId="16995395" w:rsidR="7DF82001" w:rsidRDefault="7DF82001" w:rsidP="00D90AD3">
      <w:pPr>
        <w:numPr>
          <w:ilvl w:val="0"/>
          <w:numId w:val="6"/>
        </w:numPr>
        <w:rPr>
          <w:rFonts w:eastAsia="MS Mincho" w:cs="Arial"/>
          <w:szCs w:val="20"/>
        </w:rPr>
      </w:pPr>
      <w:r w:rsidRPr="426DE8F5">
        <w:rPr>
          <w:rFonts w:eastAsia="MS Mincho" w:cs="Arial"/>
          <w:szCs w:val="20"/>
        </w:rPr>
        <w:t>Identify opportunities for KIC partnership memberships, funding, and service sales.</w:t>
      </w:r>
    </w:p>
    <w:p w14:paraId="51C2FC5F" w14:textId="417A158E" w:rsidR="7DF82001" w:rsidRDefault="7DF82001" w:rsidP="00D90AD3">
      <w:pPr>
        <w:numPr>
          <w:ilvl w:val="0"/>
          <w:numId w:val="6"/>
        </w:numPr>
        <w:rPr>
          <w:rFonts w:eastAsia="MS Mincho" w:cs="Arial"/>
          <w:szCs w:val="20"/>
        </w:rPr>
      </w:pPr>
      <w:r w:rsidRPr="426DE8F5">
        <w:rPr>
          <w:rFonts w:eastAsia="MS Mincho" w:cs="Arial"/>
          <w:szCs w:val="20"/>
        </w:rPr>
        <w:t>Facilitate investment and funding access for KIC-supported startups and scaleups.</w:t>
      </w:r>
    </w:p>
    <w:p w14:paraId="57767371" w14:textId="5ED97B05" w:rsidR="7DF82001" w:rsidRDefault="7DF82001" w:rsidP="1FCB43CC">
      <w:pPr>
        <w:rPr>
          <w:rFonts w:eastAsia="MS Mincho" w:cs="Arial"/>
          <w:b/>
          <w:bCs/>
        </w:rPr>
      </w:pPr>
      <w:r w:rsidRPr="1FCB43CC">
        <w:rPr>
          <w:rFonts w:eastAsia="MS Mincho" w:cs="Arial"/>
          <w:b/>
          <w:bCs/>
        </w:rPr>
        <w:t xml:space="preserve">Work Package </w:t>
      </w:r>
      <w:r w:rsidR="0040660E">
        <w:rPr>
          <w:rFonts w:eastAsia="MS Mincho" w:cs="Arial"/>
          <w:b/>
          <w:bCs/>
        </w:rPr>
        <w:t>3</w:t>
      </w:r>
      <w:r w:rsidRPr="1FCB43CC">
        <w:rPr>
          <w:rFonts w:eastAsia="MS Mincho" w:cs="Arial"/>
          <w:b/>
          <w:bCs/>
        </w:rPr>
        <w:t>: External Fundraising</w:t>
      </w:r>
    </w:p>
    <w:p w14:paraId="11FD4A25" w14:textId="619EE2CD" w:rsidR="7DF82001" w:rsidRDefault="7DF82001" w:rsidP="00D90AD3">
      <w:pPr>
        <w:numPr>
          <w:ilvl w:val="0"/>
          <w:numId w:val="5"/>
        </w:numPr>
        <w:rPr>
          <w:rFonts w:eastAsia="MS Mincho" w:cs="Arial"/>
          <w:szCs w:val="20"/>
        </w:rPr>
      </w:pPr>
      <w:r w:rsidRPr="426DE8F5">
        <w:rPr>
          <w:rFonts w:eastAsia="MS Mincho" w:cs="Arial"/>
          <w:szCs w:val="20"/>
        </w:rPr>
        <w:t>Identify and propose joint projects involving EIT KICs and national/regional authorities, aligned with RIS3 priorities.</w:t>
      </w:r>
    </w:p>
    <w:p w14:paraId="3E0631EF" w14:textId="473F8F57" w:rsidR="7DF82001" w:rsidRDefault="5F7EE4D8" w:rsidP="7295751F">
      <w:pPr>
        <w:numPr>
          <w:ilvl w:val="0"/>
          <w:numId w:val="5"/>
        </w:numPr>
        <w:rPr>
          <w:rFonts w:eastAsia="MS Mincho" w:cs="Arial"/>
        </w:rPr>
      </w:pPr>
      <w:r w:rsidRPr="7295751F">
        <w:rPr>
          <w:rFonts w:eastAsia="MS Mincho" w:cs="Arial"/>
        </w:rPr>
        <w:t>Scout and support co-funding opportunities through EU, national, or regional programmes such as ESIF</w:t>
      </w:r>
      <w:r w:rsidR="640DBD25" w:rsidRPr="7295751F">
        <w:rPr>
          <w:rFonts w:eastAsia="MS Mincho" w:cs="Arial"/>
        </w:rPr>
        <w:t xml:space="preserve"> (European Structural and Investment Fund)</w:t>
      </w:r>
      <w:r w:rsidRPr="7295751F">
        <w:rPr>
          <w:rFonts w:eastAsia="MS Mincho" w:cs="Arial"/>
        </w:rPr>
        <w:t xml:space="preserve"> and IPA</w:t>
      </w:r>
      <w:r w:rsidR="018A52F2" w:rsidRPr="7295751F">
        <w:rPr>
          <w:rFonts w:eastAsia="MS Mincho" w:cs="Arial"/>
        </w:rPr>
        <w:t xml:space="preserve"> (Instrument for Pre-Accession)</w:t>
      </w:r>
      <w:r w:rsidRPr="7295751F">
        <w:rPr>
          <w:rFonts w:eastAsia="MS Mincho" w:cs="Arial"/>
        </w:rPr>
        <w:t>.</w:t>
      </w:r>
    </w:p>
    <w:p w14:paraId="26EA4D59" w14:textId="08CB16AA" w:rsidR="426DE8F5" w:rsidRPr="00A10DA4" w:rsidRDefault="7DF82001" w:rsidP="00D90AD3">
      <w:pPr>
        <w:numPr>
          <w:ilvl w:val="0"/>
          <w:numId w:val="5"/>
        </w:numPr>
        <w:rPr>
          <w:rFonts w:eastAsia="MS Mincho" w:cs="Arial"/>
          <w:szCs w:val="20"/>
        </w:rPr>
      </w:pPr>
      <w:r w:rsidRPr="426DE8F5">
        <w:rPr>
          <w:rFonts w:eastAsia="MS Mincho" w:cs="Arial"/>
          <w:szCs w:val="20"/>
        </w:rPr>
        <w:t>Support the implementation of collaborative, cross-KIC initiatives to amplify local impact.</w:t>
      </w:r>
    </w:p>
    <w:p w14:paraId="68818A4F" w14:textId="21147FC0" w:rsidR="7DF82001" w:rsidRDefault="5F7EE4D8" w:rsidP="44221130">
      <w:pPr>
        <w:pStyle w:val="Heading2"/>
        <w:ind w:left="0" w:right="1282"/>
        <w:jc w:val="both"/>
        <w:rPr>
          <w:rFonts w:eastAsia="Times New Roman" w:cs="Calibri Light"/>
          <w:b w:val="0"/>
          <w:bCs w:val="0"/>
          <w:lang w:eastAsia="sv-SE"/>
        </w:rPr>
      </w:pPr>
      <w:bookmarkStart w:id="10" w:name="_Toc206684753"/>
      <w:r w:rsidRPr="7295751F">
        <w:rPr>
          <w:rFonts w:eastAsia="Times New Roman" w:cs="Calibri Light"/>
          <w:b w:val="0"/>
          <w:bCs w:val="0"/>
          <w:lang w:eastAsia="sv-SE"/>
        </w:rPr>
        <w:t>2.3. Location, timing, planning and reporting.</w:t>
      </w:r>
      <w:bookmarkEnd w:id="10"/>
      <w:r w:rsidRPr="7295751F">
        <w:rPr>
          <w:rFonts w:eastAsia="Times New Roman" w:cs="Calibri Light"/>
          <w:b w:val="0"/>
          <w:bCs w:val="0"/>
          <w:lang w:eastAsia="sv-SE"/>
        </w:rPr>
        <w:t xml:space="preserve"> </w:t>
      </w:r>
    </w:p>
    <w:p w14:paraId="5C02B339" w14:textId="21668C05" w:rsidR="2C28810E" w:rsidRDefault="2C28810E" w:rsidP="44221130">
      <w:pPr>
        <w:rPr>
          <w:rFonts w:eastAsia="MS Mincho" w:cs="Arial"/>
          <w:szCs w:val="20"/>
        </w:rPr>
      </w:pPr>
      <w:r w:rsidRPr="44221130">
        <w:rPr>
          <w:rFonts w:eastAsia="MS Mincho" w:cs="Arial"/>
          <w:szCs w:val="20"/>
        </w:rPr>
        <w:t>The intended start date is, at the latest, 01/11/2025 and is expected to last, at the latest, until 31/12/2028.</w:t>
      </w:r>
    </w:p>
    <w:p w14:paraId="3213AC5B" w14:textId="73FFA9E5" w:rsidR="7DF82001" w:rsidRDefault="7DF82001" w:rsidP="426DE8F5">
      <w:pPr>
        <w:rPr>
          <w:rFonts w:eastAsia="MS Mincho" w:cs="Arial"/>
          <w:b/>
          <w:bCs/>
          <w:szCs w:val="20"/>
        </w:rPr>
      </w:pPr>
      <w:r w:rsidRPr="426DE8F5">
        <w:rPr>
          <w:rFonts w:eastAsia="MS Mincho" w:cs="Arial"/>
          <w:b/>
          <w:bCs/>
          <w:szCs w:val="20"/>
        </w:rPr>
        <w:t>Location</w:t>
      </w:r>
    </w:p>
    <w:p w14:paraId="7A4AF908" w14:textId="3049DED3" w:rsidR="7DF82001" w:rsidRDefault="7DF82001" w:rsidP="426DE8F5">
      <w:pPr>
        <w:rPr>
          <w:rFonts w:eastAsia="MS Mincho" w:cs="Arial"/>
          <w:szCs w:val="20"/>
        </w:rPr>
      </w:pPr>
      <w:r w:rsidRPr="426DE8F5">
        <w:rPr>
          <w:rFonts w:eastAsia="MS Mincho" w:cs="Arial"/>
          <w:szCs w:val="20"/>
        </w:rPr>
        <w:t xml:space="preserve">The provider must have a </w:t>
      </w:r>
      <w:r w:rsidRPr="426DE8F5">
        <w:rPr>
          <w:rFonts w:eastAsia="MS Mincho" w:cs="Arial"/>
          <w:b/>
          <w:bCs/>
          <w:szCs w:val="20"/>
        </w:rPr>
        <w:t>physical presence in Bulgaria</w:t>
      </w:r>
      <w:r w:rsidRPr="426DE8F5">
        <w:rPr>
          <w:rFonts w:eastAsia="MS Mincho" w:cs="Arial"/>
          <w:szCs w:val="20"/>
        </w:rPr>
        <w:t>, either through a registered office or permanent operational base. This applies to all entities in the case of a consortium.</w:t>
      </w:r>
    </w:p>
    <w:p w14:paraId="7FC8489A" w14:textId="231BA3C7" w:rsidR="7DF82001" w:rsidRPr="00761915" w:rsidRDefault="7DF82001" w:rsidP="426DE8F5">
      <w:pPr>
        <w:rPr>
          <w:rFonts w:eastAsia="MS Mincho" w:cs="Arial"/>
          <w:b/>
          <w:bCs/>
          <w:szCs w:val="20"/>
        </w:rPr>
      </w:pPr>
      <w:r w:rsidRPr="00761915">
        <w:rPr>
          <w:rFonts w:eastAsia="MS Mincho" w:cs="Arial"/>
          <w:b/>
          <w:bCs/>
          <w:szCs w:val="20"/>
        </w:rPr>
        <w:t>Timing</w:t>
      </w:r>
    </w:p>
    <w:p w14:paraId="23484BB9" w14:textId="6D45B4C0" w:rsidR="7DF82001" w:rsidRPr="00761915" w:rsidRDefault="7DF82001" w:rsidP="00D90AD3">
      <w:pPr>
        <w:numPr>
          <w:ilvl w:val="0"/>
          <w:numId w:val="4"/>
        </w:numPr>
        <w:rPr>
          <w:rFonts w:eastAsia="MS Mincho" w:cs="Arial"/>
          <w:b/>
          <w:bCs/>
          <w:szCs w:val="20"/>
        </w:rPr>
      </w:pPr>
      <w:r w:rsidRPr="00761915">
        <w:rPr>
          <w:rFonts w:eastAsia="MS Mincho" w:cs="Arial"/>
          <w:szCs w:val="20"/>
        </w:rPr>
        <w:t xml:space="preserve">Contract </w:t>
      </w:r>
      <w:r w:rsidR="00761915" w:rsidRPr="00761915">
        <w:rPr>
          <w:rFonts w:eastAsia="MS Mincho" w:cs="Arial"/>
          <w:szCs w:val="20"/>
        </w:rPr>
        <w:t>#</w:t>
      </w:r>
      <w:r w:rsidR="00680580" w:rsidRPr="00761915">
        <w:rPr>
          <w:rFonts w:eastAsia="MS Mincho" w:cs="Arial"/>
          <w:szCs w:val="20"/>
        </w:rPr>
        <w:t>1</w:t>
      </w:r>
      <w:r w:rsidRPr="00761915">
        <w:rPr>
          <w:rFonts w:eastAsia="MS Mincho" w:cs="Arial"/>
          <w:szCs w:val="20"/>
        </w:rPr>
        <w:t>: 1</w:t>
      </w:r>
      <w:r w:rsidR="00A10DA4" w:rsidRPr="00761915">
        <w:rPr>
          <w:rFonts w:eastAsia="MS Mincho" w:cs="Arial"/>
          <w:szCs w:val="20"/>
          <w:vertAlign w:val="superscript"/>
        </w:rPr>
        <w:t>st</w:t>
      </w:r>
      <w:r w:rsidR="00A10DA4" w:rsidRPr="00761915">
        <w:rPr>
          <w:rFonts w:eastAsia="MS Mincho" w:cs="Arial"/>
          <w:szCs w:val="20"/>
        </w:rPr>
        <w:t xml:space="preserve"> </w:t>
      </w:r>
      <w:r w:rsidRPr="00761915">
        <w:rPr>
          <w:rFonts w:eastAsia="MS Mincho" w:cs="Arial"/>
          <w:szCs w:val="20"/>
        </w:rPr>
        <w:t>November 2025</w:t>
      </w:r>
      <w:r w:rsidR="00761915" w:rsidRPr="00761915">
        <w:rPr>
          <w:rFonts w:eastAsia="MS Mincho" w:cs="Arial"/>
          <w:szCs w:val="20"/>
        </w:rPr>
        <w:t xml:space="preserve"> to 31</w:t>
      </w:r>
      <w:r w:rsidR="00761915" w:rsidRPr="00761915">
        <w:rPr>
          <w:rFonts w:eastAsia="MS Mincho" w:cs="Arial"/>
          <w:szCs w:val="20"/>
          <w:vertAlign w:val="superscript"/>
        </w:rPr>
        <w:t>st</w:t>
      </w:r>
      <w:r w:rsidR="00761915" w:rsidRPr="00761915">
        <w:rPr>
          <w:rFonts w:eastAsia="MS Mincho" w:cs="Arial"/>
          <w:szCs w:val="20"/>
        </w:rPr>
        <w:t xml:space="preserve"> December 2025</w:t>
      </w:r>
    </w:p>
    <w:p w14:paraId="52783A78" w14:textId="18EF60F0" w:rsidR="7DF82001" w:rsidRPr="00761915" w:rsidRDefault="00680580" w:rsidP="00D90AD3">
      <w:pPr>
        <w:numPr>
          <w:ilvl w:val="0"/>
          <w:numId w:val="4"/>
        </w:numPr>
        <w:rPr>
          <w:rFonts w:eastAsia="MS Mincho" w:cs="Arial"/>
          <w:b/>
          <w:bCs/>
          <w:szCs w:val="20"/>
        </w:rPr>
      </w:pPr>
      <w:r w:rsidRPr="00761915">
        <w:rPr>
          <w:rFonts w:eastAsia="MS Mincho" w:cs="Arial"/>
          <w:szCs w:val="20"/>
        </w:rPr>
        <w:t xml:space="preserve">Contract </w:t>
      </w:r>
      <w:r w:rsidR="00761915" w:rsidRPr="00761915">
        <w:rPr>
          <w:rFonts w:eastAsia="MS Mincho" w:cs="Arial"/>
          <w:szCs w:val="20"/>
        </w:rPr>
        <w:t>#</w:t>
      </w:r>
      <w:r w:rsidRPr="00761915">
        <w:rPr>
          <w:rFonts w:eastAsia="MS Mincho" w:cs="Arial"/>
          <w:szCs w:val="20"/>
        </w:rPr>
        <w:t xml:space="preserve">2: </w:t>
      </w:r>
      <w:r w:rsidR="00761915" w:rsidRPr="00761915">
        <w:rPr>
          <w:rFonts w:eastAsia="MS Mincho" w:cs="Arial"/>
          <w:szCs w:val="20"/>
        </w:rPr>
        <w:t>1</w:t>
      </w:r>
      <w:r w:rsidR="00761915" w:rsidRPr="00761915">
        <w:rPr>
          <w:rFonts w:eastAsia="MS Mincho" w:cs="Arial"/>
          <w:szCs w:val="20"/>
          <w:vertAlign w:val="superscript"/>
        </w:rPr>
        <w:t>st</w:t>
      </w:r>
      <w:r w:rsidR="00761915" w:rsidRPr="00761915">
        <w:rPr>
          <w:rFonts w:eastAsia="MS Mincho" w:cs="Arial"/>
          <w:szCs w:val="20"/>
        </w:rPr>
        <w:t xml:space="preserve"> January </w:t>
      </w:r>
      <w:r w:rsidR="00A10DA4" w:rsidRPr="00761915">
        <w:rPr>
          <w:rFonts w:eastAsia="MS Mincho" w:cs="Arial"/>
          <w:szCs w:val="20"/>
        </w:rPr>
        <w:t xml:space="preserve">2026 </w:t>
      </w:r>
      <w:r w:rsidR="00761915" w:rsidRPr="00761915">
        <w:rPr>
          <w:rFonts w:eastAsia="MS Mincho" w:cs="Arial"/>
          <w:szCs w:val="20"/>
        </w:rPr>
        <w:t>to 31</w:t>
      </w:r>
      <w:r w:rsidR="00761915" w:rsidRPr="00761915">
        <w:rPr>
          <w:rFonts w:eastAsia="MS Mincho" w:cs="Arial"/>
          <w:szCs w:val="20"/>
          <w:vertAlign w:val="superscript"/>
        </w:rPr>
        <w:t>st</w:t>
      </w:r>
      <w:r w:rsidR="00761915" w:rsidRPr="00761915">
        <w:rPr>
          <w:rFonts w:eastAsia="MS Mincho" w:cs="Arial"/>
          <w:szCs w:val="20"/>
        </w:rPr>
        <w:t xml:space="preserve"> December</w:t>
      </w:r>
      <w:r w:rsidR="00A10DA4" w:rsidRPr="00761915">
        <w:rPr>
          <w:rFonts w:eastAsia="MS Mincho" w:cs="Arial"/>
          <w:szCs w:val="20"/>
        </w:rPr>
        <w:t xml:space="preserve"> 2027 </w:t>
      </w:r>
      <w:r w:rsidRPr="00761915">
        <w:rPr>
          <w:rFonts w:eastAsia="MS Mincho" w:cs="Arial"/>
          <w:szCs w:val="20"/>
        </w:rPr>
        <w:t>subject to performance evaluation and budget availability.</w:t>
      </w:r>
    </w:p>
    <w:p w14:paraId="240F88D6" w14:textId="33B31184" w:rsidR="7DF82001" w:rsidRPr="00761915" w:rsidRDefault="7DF82001" w:rsidP="00D90AD3">
      <w:pPr>
        <w:numPr>
          <w:ilvl w:val="0"/>
          <w:numId w:val="4"/>
        </w:numPr>
        <w:rPr>
          <w:rFonts w:eastAsia="MS Mincho" w:cs="Arial"/>
          <w:szCs w:val="20"/>
        </w:rPr>
      </w:pPr>
      <w:r w:rsidRPr="426DE8F5">
        <w:rPr>
          <w:rFonts w:eastAsia="MS Mincho" w:cs="Arial"/>
          <w:szCs w:val="20"/>
        </w:rPr>
        <w:t>Optional extension</w:t>
      </w:r>
      <w:r w:rsidR="00680580">
        <w:rPr>
          <w:rFonts w:eastAsia="MS Mincho" w:cs="Arial"/>
          <w:szCs w:val="20"/>
        </w:rPr>
        <w:t xml:space="preserve"> of Contract </w:t>
      </w:r>
      <w:r w:rsidR="006A48E2">
        <w:rPr>
          <w:rFonts w:eastAsia="MS Mincho" w:cs="Arial"/>
          <w:szCs w:val="20"/>
        </w:rPr>
        <w:t>#</w:t>
      </w:r>
      <w:r w:rsidR="00680580">
        <w:rPr>
          <w:rFonts w:eastAsia="MS Mincho" w:cs="Arial"/>
          <w:szCs w:val="20"/>
        </w:rPr>
        <w:t>2</w:t>
      </w:r>
      <w:r w:rsidRPr="426DE8F5">
        <w:rPr>
          <w:rFonts w:eastAsia="MS Mincho" w:cs="Arial"/>
          <w:szCs w:val="20"/>
        </w:rPr>
        <w:t xml:space="preserve">: </w:t>
      </w:r>
      <w:r w:rsidR="00761915">
        <w:rPr>
          <w:rFonts w:eastAsia="MS Mincho" w:cs="Arial"/>
          <w:szCs w:val="20"/>
        </w:rPr>
        <w:t>1</w:t>
      </w:r>
      <w:r w:rsidR="00761915" w:rsidRPr="00761915">
        <w:rPr>
          <w:rFonts w:eastAsia="MS Mincho" w:cs="Arial"/>
          <w:szCs w:val="20"/>
          <w:vertAlign w:val="superscript"/>
        </w:rPr>
        <w:t>st</w:t>
      </w:r>
      <w:r w:rsidR="00761915">
        <w:rPr>
          <w:rFonts w:eastAsia="MS Mincho" w:cs="Arial"/>
          <w:szCs w:val="20"/>
        </w:rPr>
        <w:t xml:space="preserve"> January 2028 </w:t>
      </w:r>
      <w:r w:rsidR="00761915" w:rsidRPr="00761915">
        <w:rPr>
          <w:rFonts w:eastAsia="MS Mincho" w:cs="Arial"/>
          <w:szCs w:val="20"/>
        </w:rPr>
        <w:t>to</w:t>
      </w:r>
      <w:r w:rsidRPr="00761915">
        <w:rPr>
          <w:rFonts w:eastAsia="MS Mincho" w:cs="Arial"/>
          <w:szCs w:val="20"/>
        </w:rPr>
        <w:t xml:space="preserve"> 31</w:t>
      </w:r>
      <w:r w:rsidR="00A10DA4" w:rsidRPr="00761915">
        <w:rPr>
          <w:rFonts w:eastAsia="MS Mincho" w:cs="Arial"/>
          <w:szCs w:val="20"/>
          <w:vertAlign w:val="superscript"/>
        </w:rPr>
        <w:t>st</w:t>
      </w:r>
      <w:r w:rsidR="00A10DA4" w:rsidRPr="00761915">
        <w:rPr>
          <w:rFonts w:eastAsia="MS Mincho" w:cs="Arial"/>
          <w:szCs w:val="20"/>
        </w:rPr>
        <w:t xml:space="preserve"> </w:t>
      </w:r>
      <w:r w:rsidRPr="00761915">
        <w:rPr>
          <w:rFonts w:eastAsia="MS Mincho" w:cs="Arial"/>
          <w:szCs w:val="20"/>
        </w:rPr>
        <w:t>December 2028,</w:t>
      </w:r>
      <w:r w:rsidRPr="426DE8F5">
        <w:rPr>
          <w:rFonts w:eastAsia="MS Mincho" w:cs="Arial"/>
          <w:szCs w:val="20"/>
        </w:rPr>
        <w:t xml:space="preserve"> subject to performance</w:t>
      </w:r>
      <w:r w:rsidR="00680580">
        <w:rPr>
          <w:rFonts w:eastAsia="MS Mincho" w:cs="Arial"/>
          <w:szCs w:val="20"/>
        </w:rPr>
        <w:t xml:space="preserve"> </w:t>
      </w:r>
      <w:r w:rsidR="00680580" w:rsidRPr="00761915">
        <w:rPr>
          <w:rFonts w:eastAsia="MS Mincho" w:cs="Arial"/>
          <w:szCs w:val="20"/>
        </w:rPr>
        <w:t>evaluation</w:t>
      </w:r>
      <w:r w:rsidRPr="00761915">
        <w:rPr>
          <w:rFonts w:eastAsia="MS Mincho" w:cs="Arial"/>
          <w:szCs w:val="20"/>
        </w:rPr>
        <w:t xml:space="preserve"> and budget availability.</w:t>
      </w:r>
    </w:p>
    <w:p w14:paraId="42305B1B" w14:textId="6C1224E6" w:rsidR="00C815C3" w:rsidRDefault="00C815C3" w:rsidP="426DE8F5">
      <w:pPr>
        <w:rPr>
          <w:rFonts w:eastAsia="MS Mincho" w:cs="Arial"/>
          <w:szCs w:val="20"/>
        </w:rPr>
      </w:pPr>
      <w:r w:rsidRPr="00761915">
        <w:rPr>
          <w:rFonts w:eastAsia="MS Mincho" w:cs="Arial"/>
          <w:szCs w:val="20"/>
        </w:rPr>
        <w:t xml:space="preserve">Please note that EIT UM reserves the right not to sign Contract #2 until its budget for </w:t>
      </w:r>
      <w:r w:rsidR="00E91A56">
        <w:rPr>
          <w:rFonts w:eastAsia="MS Mincho" w:cs="Arial"/>
          <w:szCs w:val="20"/>
        </w:rPr>
        <w:t>BP</w:t>
      </w:r>
      <w:r w:rsidRPr="00761915">
        <w:rPr>
          <w:rFonts w:eastAsia="MS Mincho" w:cs="Arial"/>
          <w:szCs w:val="20"/>
        </w:rPr>
        <w:t>2026-202</w:t>
      </w:r>
      <w:r w:rsidR="00761915" w:rsidRPr="00761915">
        <w:rPr>
          <w:rFonts w:eastAsia="MS Mincho" w:cs="Arial"/>
          <w:szCs w:val="20"/>
        </w:rPr>
        <w:t>7</w:t>
      </w:r>
      <w:r w:rsidRPr="00761915">
        <w:rPr>
          <w:rFonts w:eastAsia="MS Mincho" w:cs="Arial"/>
          <w:szCs w:val="20"/>
        </w:rPr>
        <w:t xml:space="preserve"> is confirmed (estimated before 1 January 2026). If the budget is not confirmed, the contract will not enter into force.</w:t>
      </w:r>
    </w:p>
    <w:p w14:paraId="1028387F" w14:textId="75831E5A" w:rsidR="7DF82001" w:rsidRDefault="7DF82001" w:rsidP="426DE8F5">
      <w:pPr>
        <w:rPr>
          <w:rFonts w:eastAsia="MS Mincho" w:cs="Arial"/>
          <w:b/>
          <w:bCs/>
          <w:szCs w:val="20"/>
        </w:rPr>
      </w:pPr>
      <w:r w:rsidRPr="426DE8F5">
        <w:rPr>
          <w:rFonts w:eastAsia="MS Mincho" w:cs="Arial"/>
          <w:b/>
          <w:bCs/>
          <w:szCs w:val="20"/>
        </w:rPr>
        <w:t>Planning</w:t>
      </w:r>
    </w:p>
    <w:p w14:paraId="068B350D" w14:textId="77777777" w:rsidR="00680580" w:rsidRDefault="7DF82001" w:rsidP="426DE8F5">
      <w:pPr>
        <w:rPr>
          <w:rFonts w:eastAsia="MS Mincho" w:cs="Arial"/>
          <w:szCs w:val="20"/>
        </w:rPr>
      </w:pPr>
      <w:r w:rsidRPr="426DE8F5">
        <w:rPr>
          <w:rFonts w:eastAsia="MS Mincho" w:cs="Arial"/>
          <w:szCs w:val="20"/>
        </w:rPr>
        <w:t xml:space="preserve">The proposal must include a detailed </w:t>
      </w:r>
      <w:r w:rsidRPr="426DE8F5">
        <w:rPr>
          <w:rFonts w:eastAsia="MS Mincho" w:cs="Arial"/>
          <w:b/>
          <w:bCs/>
          <w:szCs w:val="20"/>
        </w:rPr>
        <w:t>Activity Plan</w:t>
      </w:r>
      <w:r w:rsidRPr="426DE8F5">
        <w:rPr>
          <w:rFonts w:eastAsia="MS Mincho" w:cs="Arial"/>
          <w:szCs w:val="20"/>
        </w:rPr>
        <w:t xml:space="preserve"> covering </w:t>
      </w:r>
    </w:p>
    <w:p w14:paraId="5D9F6C32" w14:textId="6C446C59" w:rsidR="00680580" w:rsidRPr="00680580" w:rsidRDefault="00761915" w:rsidP="00680580">
      <w:pPr>
        <w:pStyle w:val="ListParagraph"/>
        <w:numPr>
          <w:ilvl w:val="0"/>
          <w:numId w:val="4"/>
        </w:numPr>
        <w:rPr>
          <w:rFonts w:eastAsia="MS Mincho" w:cs="Arial"/>
          <w:szCs w:val="20"/>
        </w:rPr>
      </w:pPr>
      <w:r>
        <w:rPr>
          <w:rFonts w:eastAsia="MS Mincho" w:cs="Arial"/>
          <w:szCs w:val="20"/>
        </w:rPr>
        <w:t>The months of November – December 2025</w:t>
      </w:r>
    </w:p>
    <w:p w14:paraId="5D609531" w14:textId="009B325E" w:rsidR="7DF82001" w:rsidRPr="00761915" w:rsidRDefault="00761915" w:rsidP="00680580">
      <w:pPr>
        <w:pStyle w:val="ListParagraph"/>
        <w:numPr>
          <w:ilvl w:val="0"/>
          <w:numId w:val="4"/>
        </w:numPr>
        <w:rPr>
          <w:rFonts w:eastAsia="MS Mincho" w:cs="Arial"/>
          <w:szCs w:val="20"/>
        </w:rPr>
      </w:pPr>
      <w:r w:rsidRPr="00761915">
        <w:rPr>
          <w:rFonts w:eastAsia="MS Mincho" w:cs="Arial"/>
          <w:szCs w:val="20"/>
        </w:rPr>
        <w:lastRenderedPageBreak/>
        <w:t>The months of January</w:t>
      </w:r>
      <w:r w:rsidR="006A48E2">
        <w:rPr>
          <w:rFonts w:eastAsia="MS Mincho" w:cs="Arial"/>
          <w:szCs w:val="20"/>
        </w:rPr>
        <w:t xml:space="preserve"> 2026 </w:t>
      </w:r>
      <w:r w:rsidR="7DF82001" w:rsidRPr="00761915">
        <w:rPr>
          <w:rFonts w:eastAsia="MS Mincho" w:cs="Arial"/>
          <w:szCs w:val="20"/>
        </w:rPr>
        <w:t xml:space="preserve"> – December 2026), aligned with the performance framework (Annex 5).</w:t>
      </w:r>
    </w:p>
    <w:p w14:paraId="245D5ECA" w14:textId="3EAAA8D9" w:rsidR="7DF82001" w:rsidRDefault="7DF82001" w:rsidP="426DE8F5">
      <w:pPr>
        <w:rPr>
          <w:rFonts w:eastAsia="MS Mincho" w:cs="Arial"/>
          <w:szCs w:val="20"/>
        </w:rPr>
      </w:pPr>
      <w:r w:rsidRPr="426DE8F5">
        <w:rPr>
          <w:rFonts w:eastAsia="MS Mincho" w:cs="Arial"/>
          <w:szCs w:val="20"/>
        </w:rPr>
        <w:t xml:space="preserve">Annual activities should be planned and reported using </w:t>
      </w:r>
      <w:r w:rsidR="3CF3438E" w:rsidRPr="426DE8F5">
        <w:rPr>
          <w:rFonts w:eastAsia="MS Mincho" w:cs="Arial"/>
          <w:szCs w:val="20"/>
        </w:rPr>
        <w:t xml:space="preserve">a </w:t>
      </w:r>
      <w:r w:rsidRPr="426DE8F5">
        <w:rPr>
          <w:rFonts w:eastAsia="MS Mincho" w:cs="Arial"/>
          <w:szCs w:val="20"/>
        </w:rPr>
        <w:t>predefined template (Annex 4).</w:t>
      </w:r>
    </w:p>
    <w:p w14:paraId="1A9978E4" w14:textId="42AEB13B" w:rsidR="7DF82001" w:rsidRDefault="7DF82001" w:rsidP="426DE8F5">
      <w:pPr>
        <w:rPr>
          <w:rFonts w:eastAsia="MS Mincho" w:cs="Arial"/>
          <w:b/>
          <w:bCs/>
          <w:szCs w:val="20"/>
        </w:rPr>
      </w:pPr>
      <w:r w:rsidRPr="426DE8F5">
        <w:rPr>
          <w:rFonts w:eastAsia="MS Mincho" w:cs="Arial"/>
          <w:b/>
          <w:bCs/>
          <w:szCs w:val="20"/>
        </w:rPr>
        <w:t>Reporting</w:t>
      </w:r>
    </w:p>
    <w:p w14:paraId="5C768DDE" w14:textId="6E3F01A8" w:rsidR="7DF82001" w:rsidRDefault="7DF82001" w:rsidP="426DE8F5">
      <w:pPr>
        <w:numPr>
          <w:ilvl w:val="0"/>
          <w:numId w:val="3"/>
        </w:numPr>
        <w:rPr>
          <w:rFonts w:eastAsia="MS Mincho" w:cs="Arial"/>
          <w:szCs w:val="20"/>
        </w:rPr>
      </w:pPr>
      <w:r w:rsidRPr="426DE8F5">
        <w:rPr>
          <w:rFonts w:eastAsia="MS Mincho" w:cs="Arial"/>
          <w:szCs w:val="20"/>
        </w:rPr>
        <w:t>The contractor is required to submit:</w:t>
      </w:r>
    </w:p>
    <w:p w14:paraId="076B3049" w14:textId="0D21D05C" w:rsidR="7DF82001" w:rsidRDefault="7DF82001" w:rsidP="426DE8F5">
      <w:pPr>
        <w:numPr>
          <w:ilvl w:val="1"/>
          <w:numId w:val="3"/>
        </w:numPr>
        <w:rPr>
          <w:rFonts w:eastAsia="MS Mincho" w:cs="Arial"/>
          <w:b/>
          <w:bCs/>
          <w:szCs w:val="20"/>
        </w:rPr>
      </w:pPr>
      <w:r w:rsidRPr="426DE8F5">
        <w:rPr>
          <w:rFonts w:eastAsia="MS Mincho" w:cs="Arial"/>
          <w:b/>
          <w:bCs/>
          <w:szCs w:val="20"/>
        </w:rPr>
        <w:t>Yearly Activity Plans</w:t>
      </w:r>
    </w:p>
    <w:p w14:paraId="5FA71EAE" w14:textId="753F7A41" w:rsidR="7DF82001" w:rsidRDefault="7DF82001" w:rsidP="426DE8F5">
      <w:pPr>
        <w:numPr>
          <w:ilvl w:val="1"/>
          <w:numId w:val="3"/>
        </w:numPr>
        <w:rPr>
          <w:rFonts w:eastAsia="MS Mincho" w:cs="Arial"/>
          <w:b/>
          <w:bCs/>
          <w:szCs w:val="20"/>
        </w:rPr>
      </w:pPr>
      <w:r w:rsidRPr="426DE8F5">
        <w:rPr>
          <w:rFonts w:eastAsia="MS Mincho" w:cs="Arial"/>
          <w:b/>
          <w:bCs/>
          <w:szCs w:val="20"/>
        </w:rPr>
        <w:t>Quarterly review reports</w:t>
      </w:r>
    </w:p>
    <w:p w14:paraId="6B71B117" w14:textId="29F7E2ED" w:rsidR="7DF82001" w:rsidRDefault="7DF82001" w:rsidP="426DE8F5">
      <w:pPr>
        <w:numPr>
          <w:ilvl w:val="1"/>
          <w:numId w:val="3"/>
        </w:numPr>
        <w:rPr>
          <w:rFonts w:eastAsia="MS Mincho" w:cs="Arial"/>
          <w:b/>
          <w:bCs/>
          <w:szCs w:val="20"/>
        </w:rPr>
      </w:pPr>
      <w:r w:rsidRPr="426DE8F5">
        <w:rPr>
          <w:rFonts w:eastAsia="MS Mincho" w:cs="Arial"/>
          <w:b/>
          <w:bCs/>
          <w:szCs w:val="20"/>
        </w:rPr>
        <w:t>Monthly briefings</w:t>
      </w:r>
    </w:p>
    <w:p w14:paraId="3152279A" w14:textId="68F30A17" w:rsidR="7DF82001" w:rsidRDefault="7DF82001" w:rsidP="426DE8F5">
      <w:pPr>
        <w:numPr>
          <w:ilvl w:val="0"/>
          <w:numId w:val="3"/>
        </w:numPr>
        <w:rPr>
          <w:rFonts w:eastAsia="MS Mincho" w:cs="Arial"/>
          <w:szCs w:val="20"/>
        </w:rPr>
      </w:pPr>
      <w:r w:rsidRPr="426DE8F5">
        <w:rPr>
          <w:rFonts w:eastAsia="MS Mincho" w:cs="Arial"/>
          <w:szCs w:val="20"/>
        </w:rPr>
        <w:t>Additionally, all KPIs and deliverables must be tracked and reported as specified in the Performance Monitoring Guidelines</w:t>
      </w:r>
      <w:r w:rsidR="7AFCD8DB" w:rsidRPr="426DE8F5">
        <w:rPr>
          <w:rFonts w:eastAsia="MS Mincho" w:cs="Arial"/>
          <w:szCs w:val="20"/>
        </w:rPr>
        <w:t xml:space="preserve"> (annex 5). </w:t>
      </w:r>
    </w:p>
    <w:p w14:paraId="7C89403C" w14:textId="3C1F9205" w:rsidR="69153DC6" w:rsidRDefault="69153DC6" w:rsidP="426DE8F5">
      <w:pPr>
        <w:rPr>
          <w:rFonts w:eastAsia="MS Mincho" w:cs="Arial"/>
          <w:b/>
          <w:bCs/>
          <w:szCs w:val="20"/>
        </w:rPr>
      </w:pPr>
      <w:r w:rsidRPr="426DE8F5">
        <w:rPr>
          <w:rFonts w:eastAsia="MS Mincho" w:cs="Arial"/>
          <w:b/>
          <w:bCs/>
          <w:szCs w:val="20"/>
        </w:rPr>
        <w:t>Payment terms</w:t>
      </w:r>
    </w:p>
    <w:p w14:paraId="069E9966" w14:textId="119F0190" w:rsidR="69153DC6" w:rsidRDefault="3DFB9BC7" w:rsidP="426DE8F5">
      <w:pPr>
        <w:spacing w:before="15" w:after="120"/>
        <w:ind w:right="-35"/>
        <w:jc w:val="both"/>
      </w:pPr>
      <w:r>
        <w:t>Available maximum fund for the requested services is</w:t>
      </w:r>
      <w:r w:rsidR="69153DC6">
        <w:t xml:space="preserve"> </w:t>
      </w:r>
      <w:r w:rsidR="0094034E">
        <w:rPr>
          <w:color w:val="auto"/>
        </w:rPr>
        <w:t>140,406.00</w:t>
      </w:r>
      <w:r w:rsidR="69153DC6">
        <w:t xml:space="preserve"> € (VAT excluded)</w:t>
      </w:r>
      <w:r w:rsidR="29B6EB54">
        <w:t>.</w:t>
      </w:r>
    </w:p>
    <w:p w14:paraId="4279C78F" w14:textId="70882A47" w:rsidR="0094034E" w:rsidRDefault="0094034E" w:rsidP="426DE8F5">
      <w:pPr>
        <w:spacing w:before="15" w:after="120"/>
        <w:ind w:right="-35"/>
        <w:jc w:val="both"/>
      </w:pPr>
      <w:r>
        <w:t>2025 = 9,000.00 € (VAT excluded).</w:t>
      </w:r>
    </w:p>
    <w:p w14:paraId="2A56D6DF" w14:textId="13A92A94" w:rsidR="0094034E" w:rsidRDefault="0094034E" w:rsidP="426DE8F5">
      <w:pPr>
        <w:spacing w:before="15" w:after="120"/>
        <w:ind w:right="-35"/>
        <w:jc w:val="both"/>
      </w:pPr>
      <w:r>
        <w:t xml:space="preserve">2026 – 2027 </w:t>
      </w:r>
      <w:bookmarkStart w:id="11" w:name="_Hlk206765458"/>
      <w:r>
        <w:t xml:space="preserve">(subject to budget confirmation) </w:t>
      </w:r>
      <w:bookmarkEnd w:id="11"/>
      <w:r>
        <w:t>= 87,604.00 € (VAT excluded).</w:t>
      </w:r>
    </w:p>
    <w:p w14:paraId="78B3F33E" w14:textId="416E191E" w:rsidR="0094034E" w:rsidRPr="00761915" w:rsidRDefault="0094034E" w:rsidP="426DE8F5">
      <w:pPr>
        <w:spacing w:before="15" w:after="120"/>
        <w:ind w:right="-35"/>
        <w:jc w:val="both"/>
      </w:pPr>
      <w:r w:rsidRPr="00761915">
        <w:t>2028 (Optional) = 43,802.00 € (VAT excluded).</w:t>
      </w:r>
    </w:p>
    <w:p w14:paraId="2AF63B85" w14:textId="3800B641" w:rsidR="69153DC6" w:rsidRDefault="00C815C3" w:rsidP="44221130">
      <w:pPr>
        <w:spacing w:before="15" w:after="120"/>
        <w:ind w:right="-35"/>
        <w:jc w:val="both"/>
        <w:rPr>
          <w:i/>
          <w:iCs/>
        </w:rPr>
      </w:pPr>
      <w:bookmarkStart w:id="12" w:name="_Hlk206765874"/>
      <w:r w:rsidRPr="00761915">
        <w:rPr>
          <w:i/>
          <w:iCs/>
        </w:rPr>
        <w:t>Please note that EIT UM reserves the right not to sign Contract #2 until its budget for 2026-2027 is confirmed (estimated before 1 January 2026). If the budget is not confirmed, the contract will not enter into force</w:t>
      </w:r>
      <w:r w:rsidR="69153DC6" w:rsidRPr="00761915">
        <w:rPr>
          <w:i/>
          <w:iCs/>
        </w:rPr>
        <w:t>.</w:t>
      </w:r>
    </w:p>
    <w:bookmarkEnd w:id="12"/>
    <w:p w14:paraId="7479538D" w14:textId="77777777" w:rsidR="00761915" w:rsidRDefault="00761915" w:rsidP="44221130">
      <w:pPr>
        <w:spacing w:before="15" w:after="120"/>
        <w:ind w:right="-35"/>
        <w:jc w:val="both"/>
        <w:rPr>
          <w:i/>
          <w:iCs/>
          <w:u w:val="single"/>
        </w:rPr>
      </w:pPr>
    </w:p>
    <w:p w14:paraId="5545AF94" w14:textId="5922B95F" w:rsidR="20396B6E" w:rsidRDefault="20396B6E" w:rsidP="44221130">
      <w:pPr>
        <w:spacing w:before="15" w:after="120"/>
        <w:ind w:right="-35"/>
        <w:jc w:val="both"/>
      </w:pPr>
      <w:r w:rsidRPr="44221130">
        <w:rPr>
          <w:rFonts w:asciiTheme="minorHAnsi" w:hAnsiTheme="minorHAnsi"/>
          <w:szCs w:val="20"/>
        </w:rPr>
        <w:t>In Payment shall be made upon the acceptance of the deliverables completed, as specified below:</w:t>
      </w:r>
    </w:p>
    <w:p w14:paraId="20CFA054" w14:textId="399CA26B" w:rsidR="69153DC6" w:rsidRDefault="69153DC6" w:rsidP="426DE8F5">
      <w:pPr>
        <w:spacing w:before="15" w:after="120"/>
        <w:ind w:right="-35"/>
        <w:jc w:val="both"/>
      </w:pPr>
      <w:r>
        <w:t>For the period from 1</w:t>
      </w:r>
      <w:r w:rsidRPr="426DE8F5">
        <w:rPr>
          <w:vertAlign w:val="superscript"/>
        </w:rPr>
        <w:t>st</w:t>
      </w:r>
      <w:r>
        <w:t xml:space="preserve"> November 2025 to 31</w:t>
      </w:r>
      <w:r w:rsidRPr="426DE8F5">
        <w:rPr>
          <w:vertAlign w:val="superscript"/>
        </w:rPr>
        <w:t>st</w:t>
      </w:r>
      <w:r>
        <w:t xml:space="preserve"> December 2025, the available maximum budget is 9,000 € (VAT excluded) and it will be paid in a single payment after the contract signature. </w:t>
      </w:r>
    </w:p>
    <w:p w14:paraId="507D0E09" w14:textId="443A059B" w:rsidR="69153DC6" w:rsidRDefault="69153DC6" w:rsidP="00D90AD3">
      <w:pPr>
        <w:pStyle w:val="ListParagraph"/>
        <w:numPr>
          <w:ilvl w:val="3"/>
          <w:numId w:val="17"/>
        </w:numPr>
        <w:spacing w:before="15" w:after="120"/>
        <w:ind w:right="-35"/>
        <w:jc w:val="both"/>
      </w:pPr>
      <w:r>
        <w:t>Total payment 2025: 100% of the 9,000 € for 2025, as specified in the signed contract.</w:t>
      </w:r>
    </w:p>
    <w:p w14:paraId="65F871F6" w14:textId="2C1D9320" w:rsidR="69153DC6" w:rsidRDefault="69153DC6" w:rsidP="426DE8F5">
      <w:pPr>
        <w:spacing w:before="15" w:after="120"/>
        <w:ind w:right="-35"/>
        <w:jc w:val="both"/>
      </w:pPr>
      <w:r>
        <w:t>For the year 2026 (depending on budget availability), the estimated maximum budget is 43,802 € (VAT excluded) and it will be paid as follows:</w:t>
      </w:r>
    </w:p>
    <w:p w14:paraId="5227F51E" w14:textId="753CA995" w:rsidR="69153DC6" w:rsidRDefault="69153DC6" w:rsidP="00D90AD3">
      <w:pPr>
        <w:pStyle w:val="ListParagraph"/>
        <w:numPr>
          <w:ilvl w:val="3"/>
          <w:numId w:val="17"/>
        </w:numPr>
        <w:spacing w:before="15" w:after="120"/>
        <w:ind w:right="-35"/>
        <w:jc w:val="both"/>
      </w:pPr>
      <w:r>
        <w:t>Advance Payment 2026: 60% of the contracted amount for 2026.</w:t>
      </w:r>
    </w:p>
    <w:p w14:paraId="7DBB0C04" w14:textId="725CDAA8" w:rsidR="69153DC6" w:rsidRDefault="69153DC6" w:rsidP="00D90AD3">
      <w:pPr>
        <w:pStyle w:val="ListParagraph"/>
        <w:numPr>
          <w:ilvl w:val="3"/>
          <w:numId w:val="17"/>
        </w:numPr>
        <w:spacing w:before="15" w:after="120"/>
        <w:ind w:right="-35"/>
        <w:jc w:val="both"/>
      </w:pPr>
      <w:r>
        <w:t>Final payment 2026: 40% of the contracted amount for 2026, disbursed upon successful completion of the year's activities and approval of all deliverables.</w:t>
      </w:r>
    </w:p>
    <w:p w14:paraId="3CAD75B8" w14:textId="492E0B25" w:rsidR="69153DC6" w:rsidRDefault="69153DC6" w:rsidP="426DE8F5">
      <w:pPr>
        <w:spacing w:before="4" w:after="120"/>
        <w:ind w:right="-35"/>
        <w:jc w:val="both"/>
      </w:pPr>
      <w:r>
        <w:t>For the year 2027 (depending on budget availability), the estimated maximum budget is 43,802 € (VAT excluded) and it will be paid as follows:</w:t>
      </w:r>
    </w:p>
    <w:p w14:paraId="55C9E321" w14:textId="253E62A1" w:rsidR="69153DC6" w:rsidRDefault="69153DC6" w:rsidP="00D90AD3">
      <w:pPr>
        <w:pStyle w:val="ListParagraph"/>
        <w:numPr>
          <w:ilvl w:val="3"/>
          <w:numId w:val="17"/>
        </w:numPr>
        <w:spacing w:before="4" w:after="120"/>
        <w:ind w:right="-35"/>
        <w:jc w:val="both"/>
      </w:pPr>
      <w:r>
        <w:t>Advance payment 2027: 60% of the contacted amount for 2027.</w:t>
      </w:r>
    </w:p>
    <w:p w14:paraId="6C04B4C5" w14:textId="4357F582" w:rsidR="69153DC6" w:rsidRDefault="69153DC6" w:rsidP="00D90AD3">
      <w:pPr>
        <w:pStyle w:val="ListParagraph"/>
        <w:numPr>
          <w:ilvl w:val="3"/>
          <w:numId w:val="17"/>
        </w:numPr>
        <w:spacing w:before="4" w:after="120"/>
        <w:ind w:right="-35"/>
        <w:jc w:val="both"/>
      </w:pPr>
      <w:r>
        <w:t>Final payment 2027: 40% of the contracted amount for 2027, disbursed upon successful completion of the year's activities and approval of all deliverables.</w:t>
      </w:r>
    </w:p>
    <w:p w14:paraId="18FEE30F" w14:textId="7E7D4488" w:rsidR="69153DC6" w:rsidRDefault="69153DC6" w:rsidP="426DE8F5">
      <w:pPr>
        <w:spacing w:before="4" w:after="120"/>
        <w:ind w:right="-35"/>
        <w:jc w:val="both"/>
      </w:pPr>
      <w:r>
        <w:lastRenderedPageBreak/>
        <w:t xml:space="preserve">For the year 2028, there </w:t>
      </w:r>
      <w:r w:rsidR="00761915">
        <w:t>is an option of a</w:t>
      </w:r>
      <w:r>
        <w:t xml:space="preserve"> contract extension of 1 year, provided a positive performance evaluation of the contract activities, KPIs has been issued by EIT Urban Mobility, and the funds of the contract have been consumed. In such case, an additional 43,802€ (VAT excluded) would be allocated to perform the activities.</w:t>
      </w:r>
    </w:p>
    <w:p w14:paraId="16E6BF38" w14:textId="04159D37" w:rsidR="69153DC6" w:rsidRDefault="69153DC6" w:rsidP="426DE8F5">
      <w:pPr>
        <w:spacing w:before="4" w:after="120"/>
        <w:ind w:right="-35"/>
        <w:jc w:val="both"/>
      </w:pPr>
      <w:r>
        <w:t>On a yearly basis, a reduction of up to 1,000€ in payments will be applied for each KPI strand unit not achieved in the proposed plan.</w:t>
      </w:r>
    </w:p>
    <w:p w14:paraId="6904D5F8" w14:textId="525F86AD" w:rsidR="69153DC6" w:rsidRDefault="69153DC6" w:rsidP="426DE8F5">
      <w:pPr>
        <w:spacing w:before="4" w:after="120"/>
        <w:ind w:right="-35"/>
        <w:jc w:val="both"/>
      </w:pPr>
      <w:r>
        <w:t xml:space="preserve">For the years 2026, 2027, and 2028, the annual funding allocations have not yet been formally approved at the time of publication of this Request for Proposals. When submitting the financial offer, applicants should consider a maximum indicative budget of approximately EUR </w:t>
      </w:r>
      <w:r w:rsidR="0094034E">
        <w:t>140,406.00</w:t>
      </w:r>
      <w:r>
        <w:t xml:space="preserve"> (VAT excluded). </w:t>
      </w:r>
    </w:p>
    <w:p w14:paraId="37227F29" w14:textId="7823B997" w:rsidR="69153DC6" w:rsidRDefault="69153DC6" w:rsidP="426DE8F5">
      <w:pPr>
        <w:spacing w:before="4" w:after="120"/>
        <w:ind w:right="-35"/>
        <w:jc w:val="both"/>
      </w:pPr>
      <w:r>
        <w:t>The final contractual amounts for future years (2026, 2027 and 2028) will be confirmed once the corresponding annual budgets are approved by the EIT. These amounts, or those of the financial offer (whichever is lower) will be reflected in the contract, in accordance with the terms and conditions agreed upon at contract signature. All payments are subject to:</w:t>
      </w:r>
    </w:p>
    <w:p w14:paraId="69895587" w14:textId="6BD448E4" w:rsidR="69153DC6" w:rsidRDefault="69153DC6" w:rsidP="00D90AD3">
      <w:pPr>
        <w:pStyle w:val="ListParagraph"/>
        <w:numPr>
          <w:ilvl w:val="0"/>
          <w:numId w:val="24"/>
        </w:numPr>
        <w:spacing w:before="4" w:after="120"/>
        <w:ind w:right="-35"/>
        <w:jc w:val="both"/>
      </w:pPr>
      <w:r>
        <w:t xml:space="preserve">Receipt and validation of the required financial and activity reports (not applicable to the first payment). </w:t>
      </w:r>
    </w:p>
    <w:p w14:paraId="0017C829" w14:textId="72469566" w:rsidR="69153DC6" w:rsidRDefault="69153DC6" w:rsidP="00D90AD3">
      <w:pPr>
        <w:pStyle w:val="ListParagraph"/>
        <w:numPr>
          <w:ilvl w:val="0"/>
          <w:numId w:val="24"/>
        </w:numPr>
        <w:spacing w:before="4" w:after="120"/>
        <w:ind w:right="-35"/>
        <w:jc w:val="both"/>
      </w:pPr>
      <w:r>
        <w:t>Fulfilment of contractual obligations;</w:t>
      </w:r>
    </w:p>
    <w:p w14:paraId="12FB099E" w14:textId="5CCD0608" w:rsidR="69153DC6" w:rsidRDefault="69153DC6" w:rsidP="00D90AD3">
      <w:pPr>
        <w:pStyle w:val="ListParagraph"/>
        <w:numPr>
          <w:ilvl w:val="0"/>
          <w:numId w:val="24"/>
        </w:numPr>
        <w:spacing w:before="4" w:after="120"/>
        <w:ind w:right="-35"/>
        <w:jc w:val="both"/>
      </w:pPr>
      <w:r>
        <w:t>Availability of funds as determined by the EIT Community and relevant budget holders.</w:t>
      </w:r>
    </w:p>
    <w:p w14:paraId="7B50D6BC" w14:textId="5F48781D" w:rsidR="69153DC6" w:rsidRDefault="69153DC6" w:rsidP="426DE8F5">
      <w:pPr>
        <w:spacing w:before="4" w:after="120"/>
        <w:ind w:right="-35"/>
        <w:jc w:val="both"/>
      </w:pPr>
      <w:r>
        <w:t>EIT Urban Mobility shall make the payment within 30 days from receipt of the invoice acceptance.</w:t>
      </w:r>
    </w:p>
    <w:p w14:paraId="63E82759" w14:textId="7B545917" w:rsidR="426DE8F5" w:rsidRDefault="69153DC6" w:rsidP="44221130">
      <w:pPr>
        <w:spacing w:before="4" w:after="120"/>
        <w:ind w:right="-35"/>
        <w:jc w:val="both"/>
      </w:pPr>
      <w:r>
        <w:t>The payment of all related taxes (except VAT) and other costs (social contributions, and similar obligatory costs) is the responsibility of the applicant. Delayed or missing payments of the above obligations cannot be accepted by EIT Urban Mobility and will lead to the termination of the contract.</w:t>
      </w:r>
    </w:p>
    <w:p w14:paraId="01BE6AFC" w14:textId="1BCA6ACC" w:rsidR="7AFCD8DB" w:rsidRDefault="008CAAD8" w:rsidP="426DE8F5">
      <w:pPr>
        <w:pStyle w:val="Heading2"/>
        <w:ind w:left="0" w:right="1282"/>
        <w:jc w:val="both"/>
        <w:rPr>
          <w:rFonts w:eastAsia="Times New Roman" w:cs="Calibri Light"/>
          <w:b w:val="0"/>
          <w:bCs w:val="0"/>
          <w:lang w:eastAsia="sv-SE"/>
        </w:rPr>
      </w:pPr>
      <w:bookmarkStart w:id="13" w:name="_Toc206684754"/>
      <w:r w:rsidRPr="7295751F">
        <w:rPr>
          <w:rFonts w:eastAsia="Times New Roman" w:cs="Calibri Light"/>
          <w:b w:val="0"/>
          <w:bCs w:val="0"/>
          <w:lang w:eastAsia="sv-SE"/>
        </w:rPr>
        <w:t>2.4 Methodology of work</w:t>
      </w:r>
      <w:bookmarkEnd w:id="13"/>
    </w:p>
    <w:p w14:paraId="4ABE0AC8" w14:textId="13BBAC0C" w:rsidR="7AFCD8DB" w:rsidRDefault="7AFCD8DB" w:rsidP="426DE8F5">
      <w:pPr>
        <w:rPr>
          <w:rFonts w:eastAsia="MS Mincho" w:cs="Arial"/>
          <w:szCs w:val="20"/>
        </w:rPr>
      </w:pPr>
      <w:r w:rsidRPr="426DE8F5">
        <w:rPr>
          <w:rFonts w:eastAsia="MS Mincho" w:cs="Arial"/>
          <w:szCs w:val="20"/>
        </w:rPr>
        <w:t>The supplier must adopt a collaborative, impact-oriented methodology that:</w:t>
      </w:r>
    </w:p>
    <w:p w14:paraId="7A6BBFA0" w14:textId="23FF6B6A" w:rsidR="7AFCD8DB" w:rsidRDefault="7AFCD8DB" w:rsidP="426DE8F5">
      <w:pPr>
        <w:numPr>
          <w:ilvl w:val="0"/>
          <w:numId w:val="2"/>
        </w:numPr>
        <w:rPr>
          <w:rFonts w:eastAsia="MS Mincho" w:cs="Arial"/>
          <w:szCs w:val="20"/>
        </w:rPr>
      </w:pPr>
      <w:r w:rsidRPr="426DE8F5">
        <w:rPr>
          <w:rFonts w:eastAsia="MS Mincho" w:cs="Arial"/>
          <w:szCs w:val="20"/>
        </w:rPr>
        <w:t>Leverages the strengths of all EIT KICs.</w:t>
      </w:r>
    </w:p>
    <w:p w14:paraId="4F68A3F2" w14:textId="1DA564BA" w:rsidR="7AFCD8DB" w:rsidRDefault="7AFCD8DB" w:rsidP="426DE8F5">
      <w:pPr>
        <w:numPr>
          <w:ilvl w:val="0"/>
          <w:numId w:val="2"/>
        </w:numPr>
        <w:rPr>
          <w:rFonts w:eastAsia="MS Mincho" w:cs="Arial"/>
          <w:szCs w:val="20"/>
        </w:rPr>
      </w:pPr>
      <w:r w:rsidRPr="426DE8F5">
        <w:rPr>
          <w:rFonts w:eastAsia="MS Mincho" w:cs="Arial"/>
          <w:szCs w:val="20"/>
        </w:rPr>
        <w:t>Responds effectively to local innovation needs.</w:t>
      </w:r>
    </w:p>
    <w:p w14:paraId="58EB5F0C" w14:textId="1C95F896" w:rsidR="7AFCD8DB" w:rsidRDefault="7AFCD8DB" w:rsidP="426DE8F5">
      <w:pPr>
        <w:numPr>
          <w:ilvl w:val="0"/>
          <w:numId w:val="2"/>
        </w:numPr>
        <w:rPr>
          <w:rFonts w:eastAsia="MS Mincho" w:cs="Arial"/>
          <w:szCs w:val="20"/>
        </w:rPr>
      </w:pPr>
      <w:r w:rsidRPr="426DE8F5">
        <w:rPr>
          <w:rFonts w:eastAsia="MS Mincho" w:cs="Arial"/>
          <w:szCs w:val="20"/>
        </w:rPr>
        <w:t xml:space="preserve">Aligns with the </w:t>
      </w:r>
      <w:r w:rsidRPr="426DE8F5">
        <w:rPr>
          <w:rFonts w:eastAsia="MS Mincho" w:cs="Arial"/>
          <w:b/>
          <w:bCs/>
          <w:szCs w:val="20"/>
        </w:rPr>
        <w:t>EIT RIS Implementation Framework (2025–2027)</w:t>
      </w:r>
      <w:r w:rsidRPr="426DE8F5">
        <w:rPr>
          <w:rFonts w:eastAsia="MS Mincho" w:cs="Arial"/>
          <w:szCs w:val="20"/>
        </w:rPr>
        <w:t xml:space="preserve"> and the </w:t>
      </w:r>
      <w:r w:rsidRPr="426DE8F5">
        <w:rPr>
          <w:rFonts w:eastAsia="MS Mincho" w:cs="Arial"/>
          <w:b/>
          <w:bCs/>
          <w:szCs w:val="20"/>
        </w:rPr>
        <w:t>EIT Community Officer Performance Monitoring and Evaluation Guidelines</w:t>
      </w:r>
      <w:r w:rsidRPr="426DE8F5">
        <w:rPr>
          <w:rFonts w:eastAsia="MS Mincho" w:cs="Arial"/>
          <w:szCs w:val="20"/>
        </w:rPr>
        <w:t>.</w:t>
      </w:r>
    </w:p>
    <w:p w14:paraId="16BAEBF0" w14:textId="0CA9A53F" w:rsidR="7AFCD8DB" w:rsidRDefault="7AFCD8DB" w:rsidP="426DE8F5">
      <w:pPr>
        <w:numPr>
          <w:ilvl w:val="0"/>
          <w:numId w:val="2"/>
        </w:numPr>
        <w:rPr>
          <w:rFonts w:eastAsia="MS Mincho" w:cs="Arial"/>
          <w:szCs w:val="20"/>
        </w:rPr>
      </w:pPr>
      <w:r w:rsidRPr="426DE8F5">
        <w:rPr>
          <w:rFonts w:eastAsia="MS Mincho" w:cs="Arial"/>
          <w:szCs w:val="20"/>
        </w:rPr>
        <w:t>Incorporates cross-cutting coordination, outreach, stakeholder engagement, and knowledge sharing.</w:t>
      </w:r>
    </w:p>
    <w:p w14:paraId="06676F91" w14:textId="4397ED1B" w:rsidR="7AFCD8DB" w:rsidRDefault="7AFCD8DB" w:rsidP="426DE8F5">
      <w:pPr>
        <w:numPr>
          <w:ilvl w:val="0"/>
          <w:numId w:val="2"/>
        </w:numPr>
        <w:rPr>
          <w:rFonts w:eastAsia="MS Mincho" w:cs="Arial"/>
          <w:szCs w:val="20"/>
        </w:rPr>
      </w:pPr>
      <w:r w:rsidRPr="426DE8F5">
        <w:rPr>
          <w:rFonts w:eastAsia="MS Mincho" w:cs="Arial"/>
          <w:szCs w:val="20"/>
        </w:rPr>
        <w:t>Ensures active collaboration with the broader EIT Community Officer network and participation in joint initiatives.</w:t>
      </w:r>
    </w:p>
    <w:p w14:paraId="685F2752" w14:textId="380F1CFC" w:rsidR="7AFCD8DB" w:rsidRDefault="008CAAD8" w:rsidP="44221130">
      <w:pPr>
        <w:pStyle w:val="Heading2"/>
        <w:ind w:left="0" w:right="1282"/>
        <w:jc w:val="both"/>
        <w:rPr>
          <w:rFonts w:eastAsia="Times New Roman" w:cs="Calibri Light"/>
          <w:b w:val="0"/>
          <w:bCs w:val="0"/>
          <w:lang w:eastAsia="sv-SE"/>
        </w:rPr>
      </w:pPr>
      <w:bookmarkStart w:id="14" w:name="_Toc206684755"/>
      <w:r w:rsidRPr="7295751F">
        <w:rPr>
          <w:rFonts w:eastAsia="Times New Roman" w:cs="Calibri Light"/>
          <w:b w:val="0"/>
          <w:bCs w:val="0"/>
          <w:lang w:eastAsia="sv-SE"/>
        </w:rPr>
        <w:t>2.5 Deliverables</w:t>
      </w:r>
      <w:bookmarkEnd w:id="14"/>
    </w:p>
    <w:p w14:paraId="718D8C53" w14:textId="63DE5B81" w:rsidR="7AFCD8DB" w:rsidRDefault="7AFCD8DB" w:rsidP="426DE8F5">
      <w:pPr>
        <w:rPr>
          <w:rFonts w:eastAsia="MS Mincho" w:cs="Arial"/>
          <w:szCs w:val="20"/>
        </w:rPr>
      </w:pPr>
      <w:r w:rsidRPr="426DE8F5">
        <w:rPr>
          <w:rFonts w:eastAsia="MS Mincho" w:cs="Arial"/>
          <w:szCs w:val="20"/>
        </w:rPr>
        <w:t>The expected deliverables include, but are not limited to:</w:t>
      </w:r>
    </w:p>
    <w:p w14:paraId="6F69569B" w14:textId="1465E8D2" w:rsidR="7AFCD8DB" w:rsidRDefault="7AFCD8DB" w:rsidP="426DE8F5">
      <w:pPr>
        <w:numPr>
          <w:ilvl w:val="0"/>
          <w:numId w:val="1"/>
        </w:numPr>
        <w:rPr>
          <w:rFonts w:eastAsia="MS Mincho" w:cs="Arial"/>
          <w:b/>
          <w:bCs/>
          <w:szCs w:val="20"/>
        </w:rPr>
      </w:pPr>
      <w:r w:rsidRPr="426DE8F5">
        <w:rPr>
          <w:rFonts w:eastAsia="MS Mincho" w:cs="Arial"/>
          <w:b/>
          <w:bCs/>
          <w:szCs w:val="20"/>
        </w:rPr>
        <w:t>Administrative Deliverables:</w:t>
      </w:r>
    </w:p>
    <w:p w14:paraId="21AEA0AE" w14:textId="3F410BEB" w:rsidR="7AFCD8DB" w:rsidRDefault="7AFCD8DB" w:rsidP="426DE8F5">
      <w:pPr>
        <w:numPr>
          <w:ilvl w:val="1"/>
          <w:numId w:val="1"/>
        </w:numPr>
        <w:rPr>
          <w:rFonts w:eastAsia="MS Mincho" w:cs="Arial"/>
          <w:szCs w:val="20"/>
        </w:rPr>
      </w:pPr>
      <w:r w:rsidRPr="426DE8F5">
        <w:rPr>
          <w:rFonts w:eastAsia="MS Mincho" w:cs="Arial"/>
          <w:szCs w:val="20"/>
        </w:rPr>
        <w:lastRenderedPageBreak/>
        <w:t>Branded physical office setup.</w:t>
      </w:r>
    </w:p>
    <w:p w14:paraId="7AB4FECD" w14:textId="1E2345D9" w:rsidR="7AFCD8DB" w:rsidRDefault="7AFCD8DB" w:rsidP="426DE8F5">
      <w:pPr>
        <w:numPr>
          <w:ilvl w:val="1"/>
          <w:numId w:val="1"/>
        </w:numPr>
        <w:rPr>
          <w:rFonts w:eastAsia="MS Mincho" w:cs="Arial"/>
          <w:szCs w:val="20"/>
        </w:rPr>
      </w:pPr>
      <w:r w:rsidRPr="426DE8F5">
        <w:rPr>
          <w:rFonts w:eastAsia="MS Mincho" w:cs="Arial"/>
          <w:szCs w:val="20"/>
        </w:rPr>
        <w:t>Memorandum of Understanding signed by all local EIT Community Hub members.</w:t>
      </w:r>
    </w:p>
    <w:p w14:paraId="07F587E0" w14:textId="7AA2EA48" w:rsidR="7AFCD8DB" w:rsidRDefault="7AFCD8DB" w:rsidP="426DE8F5">
      <w:pPr>
        <w:numPr>
          <w:ilvl w:val="1"/>
          <w:numId w:val="1"/>
        </w:numPr>
        <w:rPr>
          <w:rFonts w:eastAsia="MS Mincho" w:cs="Arial"/>
          <w:szCs w:val="20"/>
        </w:rPr>
      </w:pPr>
      <w:r w:rsidRPr="426DE8F5">
        <w:rPr>
          <w:rFonts w:eastAsia="MS Mincho" w:cs="Arial"/>
          <w:szCs w:val="20"/>
        </w:rPr>
        <w:t>Participation in monthly and annual ECO coordination meetings.</w:t>
      </w:r>
    </w:p>
    <w:p w14:paraId="2A16E432" w14:textId="0EA15E63" w:rsidR="7AFCD8DB" w:rsidRDefault="7AFCD8DB" w:rsidP="426DE8F5">
      <w:pPr>
        <w:numPr>
          <w:ilvl w:val="1"/>
          <w:numId w:val="1"/>
        </w:numPr>
        <w:rPr>
          <w:rFonts w:eastAsia="MS Mincho" w:cs="Arial"/>
          <w:szCs w:val="20"/>
        </w:rPr>
      </w:pPr>
      <w:r w:rsidRPr="426DE8F5">
        <w:rPr>
          <w:rFonts w:eastAsia="MS Mincho" w:cs="Arial"/>
          <w:szCs w:val="20"/>
        </w:rPr>
        <w:t>Activity plans, reports, and internal updates.</w:t>
      </w:r>
    </w:p>
    <w:p w14:paraId="1C6E270B" w14:textId="6F1CF171" w:rsidR="7AFCD8DB" w:rsidRDefault="7AFCD8DB" w:rsidP="426DE8F5">
      <w:pPr>
        <w:numPr>
          <w:ilvl w:val="0"/>
          <w:numId w:val="1"/>
        </w:numPr>
        <w:rPr>
          <w:rFonts w:eastAsia="MS Mincho" w:cs="Arial"/>
          <w:b/>
          <w:bCs/>
          <w:szCs w:val="20"/>
        </w:rPr>
      </w:pPr>
      <w:r w:rsidRPr="426DE8F5">
        <w:rPr>
          <w:rFonts w:eastAsia="MS Mincho" w:cs="Arial"/>
          <w:b/>
          <w:bCs/>
          <w:szCs w:val="20"/>
        </w:rPr>
        <w:t>Operational Deliverables:</w:t>
      </w:r>
    </w:p>
    <w:p w14:paraId="6C275ED6" w14:textId="41802BF1" w:rsidR="7AFCD8DB" w:rsidRDefault="7AFCD8DB" w:rsidP="426DE8F5">
      <w:pPr>
        <w:numPr>
          <w:ilvl w:val="1"/>
          <w:numId w:val="1"/>
        </w:numPr>
        <w:rPr>
          <w:rFonts w:eastAsia="MS Mincho" w:cs="Arial"/>
          <w:szCs w:val="20"/>
        </w:rPr>
      </w:pPr>
      <w:r w:rsidRPr="426DE8F5">
        <w:rPr>
          <w:rFonts w:eastAsia="MS Mincho" w:cs="Arial"/>
          <w:szCs w:val="20"/>
        </w:rPr>
        <w:t xml:space="preserve">Supported applications and participants referred to </w:t>
      </w:r>
      <w:r w:rsidR="2B711067" w:rsidRPr="426DE8F5">
        <w:rPr>
          <w:rFonts w:eastAsia="MS Mincho" w:cs="Arial"/>
          <w:szCs w:val="20"/>
        </w:rPr>
        <w:t>the</w:t>
      </w:r>
      <w:r w:rsidRPr="426DE8F5">
        <w:rPr>
          <w:rFonts w:eastAsia="MS Mincho" w:cs="Arial"/>
          <w:szCs w:val="20"/>
        </w:rPr>
        <w:t xml:space="preserve"> calls.</w:t>
      </w:r>
    </w:p>
    <w:p w14:paraId="3E8E4ECC" w14:textId="7C964564" w:rsidR="7AFCD8DB" w:rsidRDefault="7AFCD8DB" w:rsidP="426DE8F5">
      <w:pPr>
        <w:numPr>
          <w:ilvl w:val="1"/>
          <w:numId w:val="1"/>
        </w:numPr>
        <w:rPr>
          <w:rFonts w:eastAsia="MS Mincho" w:cs="Arial"/>
          <w:szCs w:val="20"/>
        </w:rPr>
      </w:pPr>
      <w:r w:rsidRPr="426DE8F5">
        <w:rPr>
          <w:rFonts w:eastAsia="MS Mincho" w:cs="Arial"/>
          <w:szCs w:val="20"/>
        </w:rPr>
        <w:t xml:space="preserve">Generated leads contributing to the financial sustainability of KICs and </w:t>
      </w:r>
      <w:r w:rsidR="0686C417" w:rsidRPr="426DE8F5">
        <w:rPr>
          <w:rFonts w:eastAsia="MS Mincho" w:cs="Arial"/>
          <w:szCs w:val="20"/>
        </w:rPr>
        <w:t>the</w:t>
      </w:r>
      <w:r w:rsidRPr="426DE8F5">
        <w:rPr>
          <w:rFonts w:eastAsia="MS Mincho" w:cs="Arial"/>
          <w:szCs w:val="20"/>
        </w:rPr>
        <w:t xml:space="preserve"> Cluster.</w:t>
      </w:r>
    </w:p>
    <w:p w14:paraId="1930FC8E" w14:textId="7D98072D" w:rsidR="7AFCD8DB" w:rsidRDefault="7AFCD8DB" w:rsidP="426DE8F5">
      <w:pPr>
        <w:numPr>
          <w:ilvl w:val="1"/>
          <w:numId w:val="1"/>
        </w:numPr>
        <w:rPr>
          <w:rFonts w:eastAsia="MS Mincho" w:cs="Arial"/>
          <w:szCs w:val="20"/>
        </w:rPr>
      </w:pPr>
      <w:r w:rsidRPr="426DE8F5">
        <w:rPr>
          <w:rFonts w:eastAsia="MS Mincho" w:cs="Arial"/>
          <w:szCs w:val="20"/>
        </w:rPr>
        <w:t>External funding secured for additional EIT Community Hub activities.</w:t>
      </w:r>
    </w:p>
    <w:p w14:paraId="593138D7" w14:textId="242A9A61" w:rsidR="7AFCD8DB" w:rsidRDefault="7AFCD8DB" w:rsidP="426DE8F5">
      <w:pPr>
        <w:numPr>
          <w:ilvl w:val="1"/>
          <w:numId w:val="1"/>
        </w:numPr>
        <w:rPr>
          <w:rFonts w:eastAsia="MS Mincho" w:cs="Arial"/>
          <w:szCs w:val="20"/>
        </w:rPr>
      </w:pPr>
      <w:r w:rsidRPr="426DE8F5">
        <w:rPr>
          <w:rFonts w:eastAsia="MS Mincho" w:cs="Arial"/>
          <w:szCs w:val="20"/>
        </w:rPr>
        <w:t>Event organisation, stakeholder engagement metrics, and communication analytics.</w:t>
      </w:r>
    </w:p>
    <w:p w14:paraId="49F740DF" w14:textId="61A8DCC2" w:rsidR="7AFCD8DB" w:rsidRDefault="7AFCD8DB" w:rsidP="426DE8F5">
      <w:pPr>
        <w:numPr>
          <w:ilvl w:val="0"/>
          <w:numId w:val="1"/>
        </w:numPr>
        <w:rPr>
          <w:rFonts w:eastAsia="MS Mincho" w:cs="Arial"/>
          <w:b/>
          <w:bCs/>
          <w:szCs w:val="20"/>
        </w:rPr>
      </w:pPr>
      <w:r w:rsidRPr="426DE8F5">
        <w:rPr>
          <w:rFonts w:eastAsia="MS Mincho" w:cs="Arial"/>
          <w:b/>
          <w:bCs/>
          <w:szCs w:val="20"/>
        </w:rPr>
        <w:t>Communication Deliverables:</w:t>
      </w:r>
    </w:p>
    <w:p w14:paraId="7F5A64C3" w14:textId="41E18E0B" w:rsidR="7AFCD8DB" w:rsidRDefault="7AFCD8DB" w:rsidP="426DE8F5">
      <w:pPr>
        <w:numPr>
          <w:ilvl w:val="1"/>
          <w:numId w:val="1"/>
        </w:numPr>
        <w:rPr>
          <w:rFonts w:eastAsia="MS Mincho" w:cs="Arial"/>
          <w:szCs w:val="20"/>
        </w:rPr>
      </w:pPr>
      <w:r w:rsidRPr="426DE8F5">
        <w:rPr>
          <w:rFonts w:eastAsia="MS Mincho" w:cs="Arial"/>
          <w:szCs w:val="20"/>
        </w:rPr>
        <w:t>Country webpage (in local language and English), with regular updates.</w:t>
      </w:r>
    </w:p>
    <w:p w14:paraId="13D7F0D5" w14:textId="019A40E3" w:rsidR="7AFCD8DB" w:rsidRDefault="7AFCD8DB" w:rsidP="426DE8F5">
      <w:pPr>
        <w:numPr>
          <w:ilvl w:val="1"/>
          <w:numId w:val="1"/>
        </w:numPr>
        <w:rPr>
          <w:rFonts w:eastAsia="MS Mincho" w:cs="Arial"/>
          <w:szCs w:val="20"/>
        </w:rPr>
      </w:pPr>
      <w:r w:rsidRPr="426DE8F5">
        <w:rPr>
          <w:rFonts w:eastAsia="MS Mincho" w:cs="Arial"/>
          <w:szCs w:val="20"/>
        </w:rPr>
        <w:t>Management of social media channels.</w:t>
      </w:r>
    </w:p>
    <w:p w14:paraId="5EEB43C3" w14:textId="1A90FEA0" w:rsidR="7AFCD8DB" w:rsidRDefault="7AFCD8DB" w:rsidP="426DE8F5">
      <w:pPr>
        <w:numPr>
          <w:ilvl w:val="1"/>
          <w:numId w:val="1"/>
        </w:numPr>
        <w:rPr>
          <w:rFonts w:eastAsia="MS Mincho" w:cs="Arial"/>
          <w:szCs w:val="20"/>
        </w:rPr>
      </w:pPr>
      <w:r w:rsidRPr="426DE8F5">
        <w:rPr>
          <w:rFonts w:eastAsia="MS Mincho" w:cs="Arial"/>
          <w:szCs w:val="20"/>
        </w:rPr>
        <w:t>Regular posts and engagement statistics.</w:t>
      </w:r>
    </w:p>
    <w:p w14:paraId="59D4E7E4" w14:textId="1D853B13" w:rsidR="7AFCD8DB" w:rsidRDefault="7AFCD8DB" w:rsidP="426DE8F5">
      <w:pPr>
        <w:numPr>
          <w:ilvl w:val="1"/>
          <w:numId w:val="1"/>
        </w:numPr>
        <w:rPr>
          <w:rFonts w:eastAsia="MS Mincho" w:cs="Arial"/>
          <w:szCs w:val="20"/>
        </w:rPr>
      </w:pPr>
      <w:r w:rsidRPr="426DE8F5">
        <w:rPr>
          <w:rFonts w:eastAsia="MS Mincho" w:cs="Arial"/>
          <w:szCs w:val="20"/>
        </w:rPr>
        <w:t>Press releases, testimonials, and media mentions (optional).</w:t>
      </w:r>
    </w:p>
    <w:p w14:paraId="605C7CBB" w14:textId="52B3B397" w:rsidR="7AFCD8DB" w:rsidRDefault="7AFCD8DB" w:rsidP="426DE8F5">
      <w:pPr>
        <w:rPr>
          <w:rFonts w:eastAsia="MS Mincho" w:cs="Arial"/>
          <w:szCs w:val="20"/>
        </w:rPr>
      </w:pPr>
      <w:r w:rsidRPr="44221130">
        <w:rPr>
          <w:rFonts w:eastAsia="MS Mincho" w:cs="Arial"/>
          <w:szCs w:val="20"/>
        </w:rPr>
        <w:t xml:space="preserve">Each deliverable is tied to </w:t>
      </w:r>
      <w:r w:rsidRPr="44221130">
        <w:rPr>
          <w:rFonts w:eastAsia="MS Mincho" w:cs="Arial"/>
          <w:b/>
          <w:bCs/>
          <w:szCs w:val="20"/>
        </w:rPr>
        <w:t>quantitative KPIs</w:t>
      </w:r>
      <w:r w:rsidRPr="44221130">
        <w:rPr>
          <w:rFonts w:eastAsia="MS Mincho" w:cs="Arial"/>
          <w:szCs w:val="20"/>
        </w:rPr>
        <w:t>, as outlined in Annex 5, with minimum annual thresholds for each work package strand.</w:t>
      </w:r>
    </w:p>
    <w:p w14:paraId="457EFD43" w14:textId="23AE9698" w:rsidR="002950A2" w:rsidRPr="00556B48" w:rsidRDefault="55D67A42" w:rsidP="005043A1">
      <w:pPr>
        <w:pStyle w:val="EITUMHeading1"/>
        <w:pageBreakBefore/>
        <w:ind w:left="714" w:hanging="357"/>
      </w:pPr>
      <w:bookmarkStart w:id="15" w:name="_Toc1922691442"/>
      <w:bookmarkStart w:id="16" w:name="_Toc206684756"/>
      <w:bookmarkEnd w:id="7"/>
      <w:bookmarkEnd w:id="2"/>
      <w:r>
        <w:lastRenderedPageBreak/>
        <w:t>Proposal Process</w:t>
      </w:r>
      <w:bookmarkEnd w:id="15"/>
      <w:bookmarkEnd w:id="16"/>
    </w:p>
    <w:p w14:paraId="3F91B952" w14:textId="13183ED6" w:rsidR="002950A2" w:rsidRPr="00556B48" w:rsidRDefault="5F519994" w:rsidP="002950A2">
      <w:pPr>
        <w:pStyle w:val="Heading2"/>
        <w:ind w:left="0" w:right="1282"/>
        <w:jc w:val="both"/>
        <w:rPr>
          <w:rFonts w:eastAsia="Times New Roman" w:cs="Calibri Light"/>
          <w:b w:val="0"/>
          <w:bCs w:val="0"/>
          <w:lang w:eastAsia="sv-SE"/>
        </w:rPr>
      </w:pPr>
      <w:bookmarkStart w:id="17" w:name="_Toc1734748311"/>
      <w:bookmarkStart w:id="18" w:name="_Toc206684757"/>
      <w:r w:rsidRPr="7295751F">
        <w:rPr>
          <w:rFonts w:eastAsia="Times New Roman" w:cs="Calibri Light"/>
          <w:b w:val="0"/>
          <w:bCs w:val="0"/>
          <w:lang w:eastAsia="sv-SE"/>
        </w:rPr>
        <w:t>3.1. Proposal Schedule</w:t>
      </w:r>
      <w:bookmarkEnd w:id="17"/>
      <w:bookmarkEnd w:id="18"/>
    </w:p>
    <w:p w14:paraId="7A807EF7" w14:textId="77777777" w:rsidR="002950A2" w:rsidRPr="004A13E8" w:rsidRDefault="002950A2" w:rsidP="002950A2">
      <w:pPr>
        <w:rPr>
          <w:lang w:eastAsia="sv-SE"/>
        </w:rPr>
      </w:pPr>
    </w:p>
    <w:tbl>
      <w:tblPr>
        <w:tblStyle w:val="TableGrid"/>
        <w:tblW w:w="8455" w:type="dxa"/>
        <w:tblLook w:val="04A0" w:firstRow="1" w:lastRow="0" w:firstColumn="1" w:lastColumn="0" w:noHBand="0" w:noVBand="1"/>
      </w:tblPr>
      <w:tblGrid>
        <w:gridCol w:w="4957"/>
        <w:gridCol w:w="3498"/>
      </w:tblGrid>
      <w:tr w:rsidR="002950A2" w:rsidRPr="004A13E8" w14:paraId="44D7E2D9" w14:textId="77777777" w:rsidTr="44221130">
        <w:tc>
          <w:tcPr>
            <w:tcW w:w="4957" w:type="dxa"/>
            <w:shd w:val="clear" w:color="auto" w:fill="6BB745" w:themeFill="background2"/>
            <w:vAlign w:val="center"/>
          </w:tcPr>
          <w:p w14:paraId="5E1BFB3F" w14:textId="1078CB57" w:rsidR="002950A2" w:rsidRPr="004A13E8" w:rsidRDefault="002950A2" w:rsidP="003613D9">
            <w:pPr>
              <w:jc w:val="center"/>
              <w:rPr>
                <w:rFonts w:cstheme="minorHAnsi"/>
                <w:b/>
                <w:color w:val="FFFFFF" w:themeColor="background1"/>
                <w:lang w:val="en-GB"/>
              </w:rPr>
            </w:pPr>
            <w:bookmarkStart w:id="19" w:name="_Hlk179275759"/>
          </w:p>
        </w:tc>
        <w:tc>
          <w:tcPr>
            <w:tcW w:w="3498" w:type="dxa"/>
            <w:shd w:val="clear" w:color="auto" w:fill="6BB745" w:themeFill="background2"/>
            <w:vAlign w:val="center"/>
          </w:tcPr>
          <w:p w14:paraId="72827D3F" w14:textId="3F1AF037" w:rsidR="002950A2" w:rsidRPr="004A13E8" w:rsidRDefault="002950A2" w:rsidP="003E3E53">
            <w:pPr>
              <w:spacing w:before="120" w:after="120" w:line="240" w:lineRule="auto"/>
              <w:jc w:val="center"/>
              <w:rPr>
                <w:rFonts w:cstheme="minorHAnsi"/>
                <w:b/>
                <w:color w:val="FFFFFF" w:themeColor="background1"/>
                <w:lang w:val="en-GB"/>
              </w:rPr>
            </w:pPr>
            <w:r w:rsidRPr="004A13E8">
              <w:rPr>
                <w:rFonts w:cstheme="minorHAnsi"/>
                <w:b/>
                <w:color w:val="FFFFFF" w:themeColor="background1"/>
                <w:lang w:val="en-GB"/>
              </w:rPr>
              <w:t>DATE</w:t>
            </w:r>
          </w:p>
        </w:tc>
      </w:tr>
      <w:tr w:rsidR="002950A2" w:rsidRPr="00403372" w14:paraId="728A2A09" w14:textId="77777777" w:rsidTr="44221130">
        <w:tc>
          <w:tcPr>
            <w:tcW w:w="4957" w:type="dxa"/>
          </w:tcPr>
          <w:p w14:paraId="292685A3" w14:textId="658DDC4B" w:rsidR="002950A2" w:rsidRPr="00D741C3" w:rsidRDefault="00AD0C7C" w:rsidP="003E3E53">
            <w:pPr>
              <w:spacing w:before="120" w:after="120" w:line="240" w:lineRule="auto"/>
              <w:rPr>
                <w:rFonts w:cstheme="minorHAnsi"/>
                <w:b/>
                <w:bCs/>
                <w:lang w:val="en-GB"/>
              </w:rPr>
            </w:pPr>
            <w:r w:rsidRPr="00D741C3">
              <w:rPr>
                <w:rFonts w:cstheme="minorHAnsi"/>
                <w:b/>
                <w:bCs/>
                <w:lang w:val="en-GB"/>
              </w:rPr>
              <w:t>Request for Proposals publication</w:t>
            </w:r>
          </w:p>
        </w:tc>
        <w:tc>
          <w:tcPr>
            <w:tcW w:w="3498" w:type="dxa"/>
          </w:tcPr>
          <w:p w14:paraId="45E179C8" w14:textId="78EB003F" w:rsidR="002950A2" w:rsidRPr="00405260" w:rsidRDefault="00C062F6" w:rsidP="003E3E53">
            <w:pPr>
              <w:spacing w:before="120" w:after="120" w:line="240" w:lineRule="auto"/>
              <w:jc w:val="center"/>
              <w:rPr>
                <w:rFonts w:cs="Calibri Light"/>
                <w:b/>
                <w:bCs/>
                <w:lang w:val="en-GB"/>
              </w:rPr>
            </w:pPr>
            <w:r w:rsidRPr="00C062F6">
              <w:rPr>
                <w:rFonts w:cs="Calibri Light"/>
                <w:b/>
                <w:bCs/>
                <w:lang w:val="en-GB"/>
              </w:rPr>
              <w:t>26</w:t>
            </w:r>
            <w:r w:rsidRPr="00C062F6">
              <w:rPr>
                <w:rFonts w:cs="Calibri Light"/>
                <w:b/>
                <w:bCs/>
                <w:vertAlign w:val="superscript"/>
                <w:lang w:val="en-GB"/>
              </w:rPr>
              <w:t>th</w:t>
            </w:r>
            <w:r w:rsidRPr="00C062F6">
              <w:rPr>
                <w:rFonts w:cs="Calibri Light"/>
                <w:b/>
                <w:bCs/>
                <w:lang w:val="en-GB"/>
              </w:rPr>
              <w:t xml:space="preserve"> </w:t>
            </w:r>
            <w:r w:rsidR="7CD544A5" w:rsidRPr="00C062F6">
              <w:rPr>
                <w:rFonts w:cs="Calibri Light"/>
                <w:b/>
                <w:bCs/>
                <w:lang w:val="en-GB"/>
              </w:rPr>
              <w:t>August</w:t>
            </w:r>
            <w:r w:rsidR="0B0FB7C1" w:rsidRPr="00C062F6">
              <w:rPr>
                <w:rFonts w:cs="Calibri Light"/>
                <w:b/>
                <w:bCs/>
                <w:lang w:val="en-GB"/>
              </w:rPr>
              <w:t xml:space="preserve"> </w:t>
            </w:r>
            <w:r w:rsidR="69355A71" w:rsidRPr="00C062F6">
              <w:rPr>
                <w:rFonts w:cs="Calibri Light"/>
                <w:b/>
                <w:bCs/>
                <w:lang w:val="en-GB"/>
              </w:rPr>
              <w:t>202</w:t>
            </w:r>
            <w:r w:rsidR="74702A5D" w:rsidRPr="00C062F6">
              <w:rPr>
                <w:rFonts w:cs="Calibri Light"/>
                <w:b/>
                <w:bCs/>
                <w:lang w:val="en-GB"/>
              </w:rPr>
              <w:t>5</w:t>
            </w:r>
          </w:p>
        </w:tc>
      </w:tr>
      <w:tr w:rsidR="001830E2" w:rsidRPr="004A13E8" w14:paraId="2CBED6FF" w14:textId="77777777" w:rsidTr="44221130">
        <w:trPr>
          <w:trHeight w:val="500"/>
        </w:trPr>
        <w:tc>
          <w:tcPr>
            <w:tcW w:w="4957" w:type="dxa"/>
          </w:tcPr>
          <w:p w14:paraId="241B8314" w14:textId="45F415D7" w:rsidR="001830E2" w:rsidRPr="00F76BB4" w:rsidRDefault="001830E2" w:rsidP="001830E2">
            <w:pPr>
              <w:spacing w:before="120" w:after="120" w:line="240" w:lineRule="auto"/>
              <w:rPr>
                <w:rFonts w:cs="Calibri Light"/>
                <w:b/>
                <w:lang w:val="en-GB"/>
              </w:rPr>
            </w:pPr>
            <w:r w:rsidRPr="00F76BB4">
              <w:rPr>
                <w:rFonts w:cs="Calibri Light"/>
                <w:b/>
                <w:lang w:val="en-GB"/>
              </w:rPr>
              <w:t>Date for submitting requests for additional information</w:t>
            </w:r>
          </w:p>
        </w:tc>
        <w:tc>
          <w:tcPr>
            <w:tcW w:w="3498" w:type="dxa"/>
          </w:tcPr>
          <w:p w14:paraId="4E80580D" w14:textId="361DA8FA" w:rsidR="001830E2" w:rsidRPr="004F3034" w:rsidRDefault="006A48E2" w:rsidP="001830E2">
            <w:pPr>
              <w:spacing w:before="120" w:after="120" w:line="240" w:lineRule="auto"/>
              <w:jc w:val="center"/>
              <w:rPr>
                <w:rFonts w:cs="Calibri Light"/>
                <w:b/>
                <w:bCs/>
                <w:highlight w:val="yellow"/>
                <w:lang w:val="en-GB"/>
              </w:rPr>
            </w:pPr>
            <w:r w:rsidRPr="006A48E2">
              <w:rPr>
                <w:rFonts w:cs="Calibri Light"/>
                <w:b/>
                <w:bCs/>
              </w:rPr>
              <w:t>5th September</w:t>
            </w:r>
            <w:r w:rsidR="6A2ECB5A" w:rsidRPr="006A48E2">
              <w:rPr>
                <w:rFonts w:cs="Calibri Light"/>
                <w:b/>
                <w:bCs/>
              </w:rPr>
              <w:t xml:space="preserve"> </w:t>
            </w:r>
            <w:r w:rsidR="22060B15" w:rsidRPr="006A48E2">
              <w:rPr>
                <w:rFonts w:cs="Calibri Light"/>
                <w:b/>
                <w:bCs/>
              </w:rPr>
              <w:t>202</w:t>
            </w:r>
            <w:r w:rsidR="2A4E0468" w:rsidRPr="006A48E2">
              <w:rPr>
                <w:rFonts w:cs="Calibri Light"/>
                <w:b/>
                <w:bCs/>
              </w:rPr>
              <w:t>5</w:t>
            </w:r>
          </w:p>
        </w:tc>
      </w:tr>
      <w:tr w:rsidR="001830E2" w:rsidRPr="004A13E8" w14:paraId="267FBD4F" w14:textId="77777777" w:rsidTr="44221130">
        <w:trPr>
          <w:trHeight w:val="500"/>
        </w:trPr>
        <w:tc>
          <w:tcPr>
            <w:tcW w:w="4957" w:type="dxa"/>
          </w:tcPr>
          <w:p w14:paraId="397B9208" w14:textId="36B75264" w:rsidR="001830E2" w:rsidRPr="00F76BB4" w:rsidRDefault="001830E2" w:rsidP="001830E2">
            <w:pPr>
              <w:spacing w:before="120" w:after="120" w:line="240" w:lineRule="auto"/>
              <w:rPr>
                <w:rFonts w:cstheme="minorHAnsi"/>
                <w:lang w:val="en-GB"/>
              </w:rPr>
            </w:pPr>
            <w:r w:rsidRPr="00F76BB4">
              <w:rPr>
                <w:rFonts w:cs="Calibri Light"/>
                <w:b/>
                <w:lang w:val="en-GB"/>
              </w:rPr>
              <w:t>Deadline for submitting proposal</w:t>
            </w:r>
          </w:p>
        </w:tc>
        <w:tc>
          <w:tcPr>
            <w:tcW w:w="3498" w:type="dxa"/>
          </w:tcPr>
          <w:p w14:paraId="549E12FF" w14:textId="61ABCAB7" w:rsidR="001830E2" w:rsidRPr="0066346A" w:rsidRDefault="008B7470" w:rsidP="262F3D7E">
            <w:pPr>
              <w:spacing w:before="120" w:after="120" w:line="240" w:lineRule="auto"/>
              <w:jc w:val="center"/>
              <w:rPr>
                <w:highlight w:val="cyan"/>
                <w:lang w:val="en-GB"/>
              </w:rPr>
            </w:pPr>
            <w:r>
              <w:rPr>
                <w:rFonts w:cs="Calibri Light"/>
                <w:b/>
                <w:bCs/>
                <w:lang w:val="en-GB"/>
              </w:rPr>
              <w:t>11</w:t>
            </w:r>
            <w:r w:rsidRPr="008B7470">
              <w:rPr>
                <w:rFonts w:cs="Calibri Light"/>
                <w:b/>
                <w:bCs/>
                <w:vertAlign w:val="superscript"/>
                <w:lang w:val="en-GB"/>
              </w:rPr>
              <w:t>th</w:t>
            </w:r>
            <w:r>
              <w:rPr>
                <w:rFonts w:cs="Calibri Light"/>
                <w:b/>
                <w:bCs/>
                <w:vertAlign w:val="superscript"/>
                <w:lang w:val="en-GB"/>
              </w:rPr>
              <w:t xml:space="preserve"> </w:t>
            </w:r>
            <w:r w:rsidR="000C7B2E" w:rsidRPr="000C7B2E">
              <w:rPr>
                <w:rFonts w:cs="Calibri Light"/>
                <w:b/>
                <w:bCs/>
                <w:lang w:val="en-GB"/>
              </w:rPr>
              <w:t>September</w:t>
            </w:r>
            <w:r w:rsidR="2D236996" w:rsidRPr="000C7B2E">
              <w:rPr>
                <w:rFonts w:cs="Calibri Light"/>
                <w:b/>
                <w:bCs/>
              </w:rPr>
              <w:t>,</w:t>
            </w:r>
            <w:r w:rsidR="357A2A5C" w:rsidRPr="000C7B2E">
              <w:rPr>
                <w:rFonts w:cs="Calibri Light"/>
                <w:b/>
                <w:bCs/>
              </w:rPr>
              <w:t xml:space="preserve"> </w:t>
            </w:r>
            <w:r w:rsidR="55F00973" w:rsidRPr="000C7B2E">
              <w:rPr>
                <w:rFonts w:cs="Calibri Light"/>
                <w:b/>
                <w:bCs/>
              </w:rPr>
              <w:t>202</w:t>
            </w:r>
            <w:r w:rsidR="1F7F2B2C" w:rsidRPr="000C7B2E">
              <w:rPr>
                <w:rFonts w:cs="Calibri Light"/>
                <w:b/>
                <w:bCs/>
              </w:rPr>
              <w:t>5</w:t>
            </w:r>
          </w:p>
        </w:tc>
      </w:tr>
      <w:tr w:rsidR="001D4851" w:rsidRPr="004A13E8" w14:paraId="3E9010EC" w14:textId="77777777" w:rsidTr="44221130">
        <w:tc>
          <w:tcPr>
            <w:tcW w:w="4957" w:type="dxa"/>
          </w:tcPr>
          <w:p w14:paraId="0B3E694B" w14:textId="4CABB917" w:rsidR="001D4851" w:rsidRPr="00F76BB4" w:rsidRDefault="001D4851" w:rsidP="001830E2">
            <w:pPr>
              <w:spacing w:before="120" w:after="120" w:line="240" w:lineRule="auto"/>
              <w:rPr>
                <w:rFonts w:cs="Calibri Light"/>
                <w:b/>
              </w:rPr>
            </w:pPr>
            <w:r>
              <w:rPr>
                <w:rFonts w:cs="Calibri Light"/>
                <w:b/>
              </w:rPr>
              <w:t xml:space="preserve">Interviews </w:t>
            </w:r>
            <w:proofErr w:type="spellStart"/>
            <w:r>
              <w:rPr>
                <w:rFonts w:cs="Calibri Light"/>
                <w:b/>
              </w:rPr>
              <w:t>to</w:t>
            </w:r>
            <w:proofErr w:type="spellEnd"/>
            <w:r>
              <w:rPr>
                <w:rFonts w:cs="Calibri Light"/>
                <w:b/>
              </w:rPr>
              <w:t xml:space="preserve"> potential supplier</w:t>
            </w:r>
          </w:p>
        </w:tc>
        <w:tc>
          <w:tcPr>
            <w:tcW w:w="3498" w:type="dxa"/>
          </w:tcPr>
          <w:p w14:paraId="745A12CC" w14:textId="3B909F11" w:rsidR="001D4851" w:rsidRPr="0066346A" w:rsidRDefault="000C7B2E" w:rsidP="001830E2">
            <w:pPr>
              <w:spacing w:before="120" w:after="120" w:line="240" w:lineRule="auto"/>
              <w:jc w:val="center"/>
              <w:rPr>
                <w:rFonts w:cs="Calibri Light"/>
                <w:b/>
                <w:bCs/>
                <w:highlight w:val="cyan"/>
              </w:rPr>
            </w:pPr>
            <w:r w:rsidRPr="000C7B2E">
              <w:rPr>
                <w:rFonts w:cs="Calibri Light"/>
                <w:b/>
                <w:bCs/>
              </w:rPr>
              <w:t>1</w:t>
            </w:r>
            <w:r w:rsidR="008B7470">
              <w:rPr>
                <w:rFonts w:cs="Calibri Light"/>
                <w:b/>
                <w:bCs/>
              </w:rPr>
              <w:t>7th</w:t>
            </w:r>
            <w:r w:rsidRPr="000C7B2E">
              <w:rPr>
                <w:rFonts w:cs="Calibri Light"/>
                <w:b/>
                <w:bCs/>
              </w:rPr>
              <w:t xml:space="preserve"> </w:t>
            </w:r>
            <w:proofErr w:type="spellStart"/>
            <w:r w:rsidR="3B0EDB25" w:rsidRPr="000C7B2E">
              <w:rPr>
                <w:rFonts w:cs="Calibri Light"/>
                <w:b/>
                <w:bCs/>
              </w:rPr>
              <w:t>to</w:t>
            </w:r>
            <w:proofErr w:type="spellEnd"/>
            <w:r w:rsidR="3B0EDB25" w:rsidRPr="000C7B2E">
              <w:rPr>
                <w:rFonts w:cs="Calibri Light"/>
                <w:b/>
                <w:bCs/>
              </w:rPr>
              <w:t xml:space="preserve"> </w:t>
            </w:r>
            <w:r w:rsidRPr="000C7B2E">
              <w:rPr>
                <w:rFonts w:cs="Calibri Light"/>
                <w:b/>
                <w:bCs/>
              </w:rPr>
              <w:t>19</w:t>
            </w:r>
            <w:r w:rsidR="0094034E" w:rsidRPr="000C7B2E">
              <w:rPr>
                <w:rFonts w:cs="Calibri Light"/>
                <w:b/>
                <w:bCs/>
              </w:rPr>
              <w:t>th</w:t>
            </w:r>
            <w:r w:rsidR="3B0EDB25" w:rsidRPr="000C7B2E">
              <w:rPr>
                <w:rFonts w:cs="Calibri Light"/>
                <w:b/>
                <w:bCs/>
              </w:rPr>
              <w:t xml:space="preserve"> </w:t>
            </w:r>
            <w:r w:rsidR="7ED05EAF" w:rsidRPr="000C7B2E">
              <w:rPr>
                <w:rFonts w:cs="Calibri Light"/>
                <w:b/>
                <w:bCs/>
              </w:rPr>
              <w:t>September</w:t>
            </w:r>
            <w:r w:rsidR="3B0EDB25" w:rsidRPr="000C7B2E">
              <w:rPr>
                <w:rFonts w:cs="Calibri Light"/>
                <w:b/>
                <w:bCs/>
              </w:rPr>
              <w:t>, 2025</w:t>
            </w:r>
            <w:r w:rsidR="00B402A9" w:rsidRPr="000C7B2E">
              <w:rPr>
                <w:rStyle w:val="FootnoteReference"/>
                <w:rFonts w:cs="Calibri Light"/>
                <w:b/>
                <w:bCs/>
              </w:rPr>
              <w:footnoteReference w:id="2"/>
            </w:r>
          </w:p>
        </w:tc>
      </w:tr>
      <w:tr w:rsidR="001830E2" w:rsidRPr="004A13E8" w14:paraId="5CEBE92C" w14:textId="77777777" w:rsidTr="44221130">
        <w:tc>
          <w:tcPr>
            <w:tcW w:w="4957" w:type="dxa"/>
          </w:tcPr>
          <w:p w14:paraId="0D8E3B32" w14:textId="59225CEA" w:rsidR="001830E2" w:rsidRPr="00F76BB4" w:rsidRDefault="001830E2" w:rsidP="001830E2">
            <w:pPr>
              <w:spacing w:before="120" w:after="120" w:line="240" w:lineRule="auto"/>
              <w:rPr>
                <w:rFonts w:cstheme="minorHAnsi"/>
                <w:lang w:val="en-GB"/>
              </w:rPr>
            </w:pPr>
            <w:r w:rsidRPr="00F76BB4">
              <w:rPr>
                <w:rFonts w:cs="Calibri Light"/>
                <w:b/>
                <w:lang w:val="en-GB"/>
              </w:rPr>
              <w:t>Intended date of notification of award</w:t>
            </w:r>
          </w:p>
        </w:tc>
        <w:tc>
          <w:tcPr>
            <w:tcW w:w="3498" w:type="dxa"/>
          </w:tcPr>
          <w:p w14:paraId="2481A92F" w14:textId="26F99E51" w:rsidR="001830E2" w:rsidRPr="006A48E2" w:rsidRDefault="006A48E2" w:rsidP="001830E2">
            <w:pPr>
              <w:spacing w:before="120" w:after="120" w:line="240" w:lineRule="auto"/>
              <w:jc w:val="center"/>
              <w:rPr>
                <w:lang w:val="en-GB"/>
              </w:rPr>
            </w:pPr>
            <w:r w:rsidRPr="006A48E2">
              <w:rPr>
                <w:rFonts w:cs="Calibri Light"/>
                <w:b/>
                <w:bCs/>
                <w:lang w:val="en-GB"/>
              </w:rPr>
              <w:t>25</w:t>
            </w:r>
            <w:r w:rsidRPr="006A48E2">
              <w:rPr>
                <w:rFonts w:cs="Calibri Light"/>
                <w:b/>
                <w:bCs/>
                <w:vertAlign w:val="superscript"/>
                <w:lang w:val="en-GB"/>
              </w:rPr>
              <w:t>th</w:t>
            </w:r>
            <w:r w:rsidRPr="006A48E2">
              <w:rPr>
                <w:rFonts w:cs="Calibri Light"/>
                <w:b/>
                <w:bCs/>
                <w:lang w:val="en-GB"/>
              </w:rPr>
              <w:t xml:space="preserve"> </w:t>
            </w:r>
            <w:r w:rsidR="34A5FB3C" w:rsidRPr="006A48E2">
              <w:rPr>
                <w:rFonts w:cs="Calibri Light"/>
                <w:b/>
                <w:bCs/>
                <w:lang w:val="en-GB"/>
              </w:rPr>
              <w:t>September</w:t>
            </w:r>
            <w:r w:rsidR="52E2E9F7" w:rsidRPr="006A48E2">
              <w:rPr>
                <w:rFonts w:cs="Calibri Light"/>
                <w:b/>
                <w:bCs/>
              </w:rPr>
              <w:t xml:space="preserve">, </w:t>
            </w:r>
            <w:r w:rsidR="22060B15" w:rsidRPr="006A48E2">
              <w:rPr>
                <w:rFonts w:cs="Calibri Light"/>
                <w:b/>
                <w:bCs/>
              </w:rPr>
              <w:t>202</w:t>
            </w:r>
            <w:r w:rsidR="2A4E0468" w:rsidRPr="006A48E2">
              <w:rPr>
                <w:rFonts w:cs="Calibri Light"/>
                <w:b/>
                <w:bCs/>
              </w:rPr>
              <w:t>5</w:t>
            </w:r>
          </w:p>
        </w:tc>
      </w:tr>
      <w:tr w:rsidR="001830E2" w:rsidRPr="004A13E8" w14:paraId="037289E0" w14:textId="77777777" w:rsidTr="44221130">
        <w:tc>
          <w:tcPr>
            <w:tcW w:w="4957" w:type="dxa"/>
          </w:tcPr>
          <w:p w14:paraId="615D35EB" w14:textId="2B927226" w:rsidR="001830E2" w:rsidRPr="00F76BB4" w:rsidRDefault="001830E2" w:rsidP="001830E2">
            <w:pPr>
              <w:spacing w:before="120" w:after="120" w:line="240" w:lineRule="auto"/>
              <w:rPr>
                <w:rFonts w:cstheme="minorHAnsi"/>
                <w:lang w:val="en-GB"/>
              </w:rPr>
            </w:pPr>
            <w:r w:rsidRPr="00F76BB4">
              <w:rPr>
                <w:rFonts w:cs="Calibri Light"/>
                <w:b/>
                <w:lang w:val="en-GB"/>
              </w:rPr>
              <w:t>Stand still period</w:t>
            </w:r>
          </w:p>
        </w:tc>
        <w:tc>
          <w:tcPr>
            <w:tcW w:w="3498" w:type="dxa"/>
          </w:tcPr>
          <w:p w14:paraId="4FEA58A7" w14:textId="6840AD29" w:rsidR="001830E2" w:rsidRPr="006A48E2" w:rsidRDefault="0094034E" w:rsidP="001830E2">
            <w:pPr>
              <w:spacing w:before="120" w:after="120" w:line="240" w:lineRule="auto"/>
              <w:jc w:val="center"/>
              <w:rPr>
                <w:rFonts w:cstheme="minorHAnsi"/>
                <w:lang w:val="en-GB"/>
              </w:rPr>
            </w:pPr>
            <w:r w:rsidRPr="006A48E2">
              <w:rPr>
                <w:rFonts w:cs="Calibri Light"/>
                <w:b/>
                <w:bCs/>
              </w:rPr>
              <w:t>5</w:t>
            </w:r>
            <w:r w:rsidR="00B657EF" w:rsidRPr="006A48E2">
              <w:rPr>
                <w:rFonts w:cs="Calibri Light"/>
                <w:b/>
                <w:bCs/>
              </w:rPr>
              <w:t xml:space="preserve"> </w:t>
            </w:r>
            <w:proofErr w:type="spellStart"/>
            <w:r w:rsidR="00B657EF" w:rsidRPr="006A48E2">
              <w:rPr>
                <w:rFonts w:cs="Calibri Light"/>
                <w:b/>
                <w:bCs/>
              </w:rPr>
              <w:t>days</w:t>
            </w:r>
            <w:proofErr w:type="spellEnd"/>
          </w:p>
        </w:tc>
      </w:tr>
      <w:tr w:rsidR="001830E2" w:rsidRPr="004A13E8" w14:paraId="551DC4E7" w14:textId="77777777" w:rsidTr="44221130">
        <w:tc>
          <w:tcPr>
            <w:tcW w:w="4957" w:type="dxa"/>
          </w:tcPr>
          <w:p w14:paraId="3004D5D6" w14:textId="6F8CF112" w:rsidR="001830E2" w:rsidRPr="00F76BB4" w:rsidRDefault="001830E2" w:rsidP="001830E2">
            <w:pPr>
              <w:spacing w:before="120" w:after="120" w:line="240" w:lineRule="auto"/>
              <w:rPr>
                <w:rFonts w:cstheme="minorHAnsi"/>
                <w:lang w:val="en-GB"/>
              </w:rPr>
            </w:pPr>
            <w:r w:rsidRPr="00F76BB4">
              <w:rPr>
                <w:rFonts w:cs="Calibri Light"/>
                <w:b/>
                <w:lang w:val="en-GB"/>
              </w:rPr>
              <w:t>Intended date of contract signature</w:t>
            </w:r>
          </w:p>
        </w:tc>
        <w:tc>
          <w:tcPr>
            <w:tcW w:w="3498" w:type="dxa"/>
          </w:tcPr>
          <w:p w14:paraId="448C4AC8" w14:textId="3D656696" w:rsidR="001830E2" w:rsidRPr="006A48E2" w:rsidRDefault="006A48E2" w:rsidP="262F3D7E">
            <w:pPr>
              <w:spacing w:before="120" w:after="120" w:line="240" w:lineRule="auto"/>
              <w:jc w:val="center"/>
              <w:rPr>
                <w:lang w:val="en-GB"/>
              </w:rPr>
            </w:pPr>
            <w:r w:rsidRPr="006A48E2">
              <w:rPr>
                <w:rFonts w:cs="Calibri Light"/>
                <w:b/>
                <w:bCs/>
                <w:lang w:val="en-GB"/>
              </w:rPr>
              <w:t>1</w:t>
            </w:r>
            <w:r w:rsidRPr="006A48E2">
              <w:rPr>
                <w:rFonts w:cs="Calibri Light"/>
                <w:b/>
                <w:bCs/>
                <w:vertAlign w:val="superscript"/>
                <w:lang w:val="en-GB"/>
              </w:rPr>
              <w:t>st</w:t>
            </w:r>
            <w:r w:rsidRPr="006A48E2">
              <w:rPr>
                <w:rFonts w:cs="Calibri Light"/>
                <w:b/>
                <w:bCs/>
                <w:lang w:val="en-GB"/>
              </w:rPr>
              <w:t xml:space="preserve"> October</w:t>
            </w:r>
            <w:r w:rsidR="52E2E9F7" w:rsidRPr="006A48E2">
              <w:rPr>
                <w:rFonts w:cs="Calibri Light"/>
                <w:b/>
                <w:bCs/>
              </w:rPr>
              <w:t xml:space="preserve">, </w:t>
            </w:r>
            <w:r w:rsidR="22060B15" w:rsidRPr="006A48E2">
              <w:rPr>
                <w:rFonts w:cs="Calibri Light"/>
                <w:b/>
                <w:bCs/>
              </w:rPr>
              <w:t>202</w:t>
            </w:r>
            <w:r w:rsidR="2A4E0468" w:rsidRPr="006A48E2">
              <w:rPr>
                <w:rFonts w:cs="Calibri Light"/>
                <w:b/>
                <w:bCs/>
              </w:rPr>
              <w:t>5</w:t>
            </w:r>
          </w:p>
        </w:tc>
      </w:tr>
      <w:tr w:rsidR="001830E2" w:rsidRPr="004A13E8" w14:paraId="7C1CDBC9" w14:textId="77777777" w:rsidTr="44221130">
        <w:tc>
          <w:tcPr>
            <w:tcW w:w="4957" w:type="dxa"/>
          </w:tcPr>
          <w:p w14:paraId="6CEA6FE8" w14:textId="68800058" w:rsidR="001830E2" w:rsidRPr="00F76BB4" w:rsidRDefault="001830E2" w:rsidP="001830E2">
            <w:pPr>
              <w:spacing w:before="120" w:after="120" w:line="240" w:lineRule="auto"/>
              <w:rPr>
                <w:rFonts w:cstheme="minorHAnsi"/>
                <w:lang w:val="en-GB"/>
              </w:rPr>
            </w:pPr>
            <w:r w:rsidRPr="00F76BB4">
              <w:rPr>
                <w:rFonts w:cs="Calibri Light"/>
                <w:b/>
                <w:lang w:val="en-GB"/>
              </w:rPr>
              <w:t>Intended start date of the contract implementation</w:t>
            </w:r>
          </w:p>
        </w:tc>
        <w:tc>
          <w:tcPr>
            <w:tcW w:w="3498" w:type="dxa"/>
          </w:tcPr>
          <w:p w14:paraId="78D41B01" w14:textId="5C672D7C" w:rsidR="001830E2" w:rsidRPr="004F3034" w:rsidRDefault="001D4851" w:rsidP="001830E2">
            <w:pPr>
              <w:spacing w:before="120" w:after="120" w:line="240" w:lineRule="auto"/>
              <w:jc w:val="center"/>
              <w:rPr>
                <w:highlight w:val="yellow"/>
                <w:lang w:val="en-GB"/>
              </w:rPr>
            </w:pPr>
            <w:r w:rsidRPr="0046669F">
              <w:rPr>
                <w:rFonts w:cs="Calibri Light"/>
                <w:b/>
                <w:bCs/>
                <w:lang w:val="en-GB"/>
              </w:rPr>
              <w:t>1</w:t>
            </w:r>
            <w:r w:rsidR="0094034E" w:rsidRPr="0094034E">
              <w:rPr>
                <w:rFonts w:cs="Calibri Light"/>
                <w:b/>
                <w:bCs/>
                <w:vertAlign w:val="superscript"/>
                <w:lang w:val="en-GB"/>
              </w:rPr>
              <w:t>st</w:t>
            </w:r>
            <w:r w:rsidR="105C7E58" w:rsidRPr="0046669F">
              <w:rPr>
                <w:rFonts w:cs="Calibri Light"/>
                <w:b/>
                <w:bCs/>
                <w:lang w:val="en-GB"/>
              </w:rPr>
              <w:t xml:space="preserve"> </w:t>
            </w:r>
            <w:r w:rsidR="0046669F" w:rsidRPr="0046669F">
              <w:rPr>
                <w:rFonts w:cs="Calibri Light"/>
                <w:b/>
                <w:bCs/>
                <w:lang w:val="en-GB"/>
              </w:rPr>
              <w:t>November</w:t>
            </w:r>
            <w:r w:rsidR="35374866" w:rsidRPr="0046669F">
              <w:rPr>
                <w:rFonts w:cs="Calibri Light"/>
                <w:b/>
                <w:bCs/>
              </w:rPr>
              <w:t xml:space="preserve">, </w:t>
            </w:r>
            <w:r w:rsidR="47FAE280" w:rsidRPr="0046669F">
              <w:rPr>
                <w:rFonts w:cs="Calibri Light"/>
                <w:b/>
                <w:bCs/>
              </w:rPr>
              <w:t>202</w:t>
            </w:r>
            <w:r w:rsidR="0046669F" w:rsidRPr="0046669F">
              <w:rPr>
                <w:rFonts w:cs="Calibri Light"/>
                <w:b/>
                <w:bCs/>
              </w:rPr>
              <w:t>5</w:t>
            </w:r>
          </w:p>
        </w:tc>
      </w:tr>
      <w:bookmarkEnd w:id="19"/>
    </w:tbl>
    <w:p w14:paraId="5C1FF82B" w14:textId="34435E55" w:rsidR="00392051" w:rsidRPr="004A13E8" w:rsidRDefault="00392051" w:rsidP="004F5142"/>
    <w:p w14:paraId="559D84CD" w14:textId="189E0D09" w:rsidR="003E3E53" w:rsidRPr="00556B48" w:rsidRDefault="3CD0465D" w:rsidP="003E3E53">
      <w:pPr>
        <w:pStyle w:val="Heading2"/>
        <w:ind w:left="0" w:right="1282"/>
        <w:jc w:val="both"/>
        <w:rPr>
          <w:rFonts w:eastAsia="Times New Roman" w:cs="Calibri Light"/>
          <w:b w:val="0"/>
          <w:bCs w:val="0"/>
          <w:lang w:eastAsia="sv-SE"/>
        </w:rPr>
      </w:pPr>
      <w:bookmarkStart w:id="20" w:name="_bookmark2"/>
      <w:bookmarkStart w:id="21" w:name="_bookmark3"/>
      <w:bookmarkStart w:id="22" w:name="_Toc238803866"/>
      <w:bookmarkStart w:id="23" w:name="_Toc206684758"/>
      <w:bookmarkEnd w:id="20"/>
      <w:bookmarkEnd w:id="21"/>
      <w:r w:rsidRPr="7295751F">
        <w:rPr>
          <w:rFonts w:eastAsia="Times New Roman" w:cs="Calibri Light"/>
          <w:b w:val="0"/>
          <w:bCs w:val="0"/>
          <w:lang w:eastAsia="sv-SE"/>
        </w:rPr>
        <w:t>3.</w:t>
      </w:r>
      <w:r w:rsidR="135ABAAC" w:rsidRPr="7295751F">
        <w:rPr>
          <w:rFonts w:eastAsia="Times New Roman" w:cs="Calibri Light"/>
          <w:b w:val="0"/>
          <w:bCs w:val="0"/>
          <w:lang w:eastAsia="sv-SE"/>
        </w:rPr>
        <w:t>2</w:t>
      </w:r>
      <w:r w:rsidRPr="7295751F">
        <w:rPr>
          <w:rFonts w:eastAsia="Times New Roman" w:cs="Calibri Light"/>
          <w:b w:val="0"/>
          <w:bCs w:val="0"/>
          <w:lang w:eastAsia="sv-SE"/>
        </w:rPr>
        <w:t>. Submission of proposal</w:t>
      </w:r>
      <w:bookmarkEnd w:id="22"/>
      <w:bookmarkEnd w:id="23"/>
    </w:p>
    <w:p w14:paraId="3DE5517C" w14:textId="6862C3A9" w:rsidR="003E3E53" w:rsidRPr="004A13E8" w:rsidRDefault="2924DF15" w:rsidP="00AE268A">
      <w:pPr>
        <w:spacing w:before="120" w:after="120" w:line="240" w:lineRule="auto"/>
        <w:jc w:val="both"/>
        <w:rPr>
          <w:rFonts w:cs="Calibri Light"/>
        </w:rPr>
      </w:pPr>
      <w:r w:rsidRPr="63DC4369">
        <w:rPr>
          <w:rFonts w:cs="Calibri Light"/>
        </w:rPr>
        <w:t xml:space="preserve">Proposals are requested to be emailed in written form, </w:t>
      </w:r>
      <w:r w:rsidRPr="63DC4369">
        <w:rPr>
          <w:rFonts w:cs="Calibri Light"/>
          <w:b/>
          <w:bCs/>
        </w:rPr>
        <w:t>in English</w:t>
      </w:r>
      <w:r w:rsidRPr="63DC4369">
        <w:rPr>
          <w:rFonts w:cs="Calibri Light"/>
        </w:rPr>
        <w:t xml:space="preserve"> to the following address until </w:t>
      </w:r>
      <w:r w:rsidRPr="0003049E">
        <w:rPr>
          <w:rFonts w:cs="Calibri Light"/>
          <w:b/>
          <w:bCs/>
        </w:rPr>
        <w:t>the deadline of</w:t>
      </w:r>
      <w:r w:rsidR="5D4E6BBD" w:rsidRPr="0003049E">
        <w:rPr>
          <w:rFonts w:cs="Calibri Light"/>
          <w:b/>
          <w:bCs/>
        </w:rPr>
        <w:t xml:space="preserve"> </w:t>
      </w:r>
      <w:r w:rsidR="006A48E2">
        <w:rPr>
          <w:rFonts w:cs="Calibri Light"/>
          <w:b/>
          <w:bCs/>
        </w:rPr>
        <w:t>11</w:t>
      </w:r>
      <w:r w:rsidR="006A48E2" w:rsidRPr="006A48E2">
        <w:rPr>
          <w:rFonts w:cs="Calibri Light"/>
          <w:b/>
          <w:bCs/>
        </w:rPr>
        <w:t xml:space="preserve">th September </w:t>
      </w:r>
      <w:r w:rsidR="5D4E6BBD" w:rsidRPr="0094034E">
        <w:rPr>
          <w:rFonts w:cs="Calibri Light"/>
          <w:b/>
          <w:bCs/>
        </w:rPr>
        <w:t>202</w:t>
      </w:r>
      <w:r w:rsidR="6D781DA2" w:rsidRPr="0094034E">
        <w:rPr>
          <w:rFonts w:cs="Calibri Light"/>
          <w:b/>
          <w:bCs/>
        </w:rPr>
        <w:t>5</w:t>
      </w:r>
      <w:r w:rsidR="5D4E6BBD" w:rsidRPr="0094034E">
        <w:rPr>
          <w:rFonts w:cs="Calibri Light"/>
          <w:b/>
          <w:bCs/>
        </w:rPr>
        <w:t>, 16</w:t>
      </w:r>
      <w:r w:rsidR="5D4E6BBD" w:rsidRPr="63DC4369">
        <w:rPr>
          <w:rFonts w:cs="Calibri Light"/>
          <w:b/>
          <w:bCs/>
        </w:rPr>
        <w:t>:00 hrs</w:t>
      </w:r>
      <w:r w:rsidR="5BECC160" w:rsidRPr="63DC4369">
        <w:rPr>
          <w:rFonts w:cs="Calibri Light"/>
          <w:b/>
          <w:bCs/>
        </w:rPr>
        <w:t xml:space="preserve"> </w:t>
      </w:r>
      <w:r w:rsidRPr="63DC4369">
        <w:rPr>
          <w:rFonts w:cs="Calibri Light"/>
          <w:b/>
          <w:bCs/>
        </w:rPr>
        <w:t>Central European Time</w:t>
      </w:r>
      <w:r w:rsidRPr="63DC4369">
        <w:rPr>
          <w:rFonts w:cs="Calibri Light"/>
        </w:rPr>
        <w:t xml:space="preserve">, </w:t>
      </w:r>
      <w:r w:rsidR="53249572" w:rsidRPr="63DC4369">
        <w:rPr>
          <w:rFonts w:cs="Calibri Light"/>
        </w:rPr>
        <w:t>considering the following details</w:t>
      </w:r>
      <w:r w:rsidRPr="63DC4369">
        <w:rPr>
          <w:rFonts w:cs="Calibri Light"/>
        </w:rPr>
        <w:t>:</w:t>
      </w:r>
    </w:p>
    <w:p w14:paraId="2173D9DD" w14:textId="77777777" w:rsidR="003E3E53" w:rsidRPr="004A13E8" w:rsidRDefault="003E3E53" w:rsidP="003E3E53">
      <w:pPr>
        <w:spacing w:before="120" w:after="120"/>
        <w:jc w:val="both"/>
        <w:rPr>
          <w:rFonts w:eastAsia="Calibri" w:cs="Calibri Light"/>
          <w:color w:val="000000"/>
          <w:szCs w:val="20"/>
          <w:lang w:eastAsia="sv-SE"/>
        </w:rPr>
      </w:pPr>
      <w:r w:rsidRPr="004A13E8">
        <w:rPr>
          <w:rFonts w:eastAsia="Calibri" w:cs="Calibri Light"/>
          <w:color w:val="000000"/>
          <w:szCs w:val="20"/>
          <w:lang w:eastAsia="sv-SE"/>
        </w:rPr>
        <w:t xml:space="preserve"> </w:t>
      </w:r>
    </w:p>
    <w:p w14:paraId="7479C8A0" w14:textId="1C5ADA37" w:rsidR="003E3E53" w:rsidRPr="004A13E8" w:rsidRDefault="00277135" w:rsidP="003E3E53">
      <w:pPr>
        <w:tabs>
          <w:tab w:val="center" w:pos="4366"/>
        </w:tabs>
        <w:ind w:left="720"/>
        <w:jc w:val="both"/>
        <w:rPr>
          <w:rFonts w:cs="Calibri Light"/>
        </w:rPr>
      </w:pPr>
      <w:bookmarkStart w:id="24" w:name="_Hlk117183948"/>
      <w:r>
        <w:rPr>
          <w:rFonts w:cs="Calibri Light"/>
          <w:b/>
          <w:bCs/>
        </w:rPr>
        <w:t>Subject</w:t>
      </w:r>
      <w:r w:rsidR="003E3E53" w:rsidRPr="004A13E8">
        <w:rPr>
          <w:rFonts w:cs="Calibri Light"/>
        </w:rPr>
        <w:t xml:space="preserve">: </w:t>
      </w:r>
      <w:bookmarkEnd w:id="24"/>
      <w:r>
        <w:rPr>
          <w:rFonts w:cs="Calibri Light"/>
        </w:rPr>
        <w:t>Proposal EIT Community Officer Bulgaria</w:t>
      </w:r>
    </w:p>
    <w:p w14:paraId="7F129E0E" w14:textId="77777777" w:rsidR="003E3E53" w:rsidRPr="004A13E8" w:rsidRDefault="003E3E53" w:rsidP="003E3E53">
      <w:pPr>
        <w:tabs>
          <w:tab w:val="center" w:pos="4366"/>
        </w:tabs>
        <w:spacing w:after="0"/>
        <w:ind w:left="720"/>
        <w:jc w:val="both"/>
        <w:rPr>
          <w:rFonts w:eastAsia="Calibri" w:cs="Calibri Light"/>
          <w:color w:val="0563C1"/>
          <w:szCs w:val="20"/>
          <w:u w:val="single"/>
          <w:lang w:eastAsia="sv-SE"/>
        </w:rPr>
      </w:pPr>
      <w:r w:rsidRPr="004A13E8">
        <w:rPr>
          <w:rFonts w:eastAsia="Calibri" w:cs="Calibri Light"/>
          <w:b/>
          <w:color w:val="000000"/>
          <w:szCs w:val="20"/>
          <w:lang w:eastAsia="sv-SE"/>
        </w:rPr>
        <w:t>E-mail</w:t>
      </w:r>
      <w:r w:rsidRPr="004A13E8">
        <w:rPr>
          <w:rFonts w:eastAsia="Calibri" w:cs="Calibri Light"/>
          <w:color w:val="000000"/>
          <w:szCs w:val="20"/>
          <w:lang w:eastAsia="sv-SE"/>
        </w:rPr>
        <w:t xml:space="preserve">: </w:t>
      </w:r>
      <w:bookmarkStart w:id="25" w:name="_Hlk117183969"/>
      <w:r w:rsidR="00F65097">
        <w:fldChar w:fldCharType="begin"/>
      </w:r>
      <w:r w:rsidR="00F65097">
        <w:instrText xml:space="preserve"> HYPERLINK "mailto:procurement@eiturbanmobility.eu" </w:instrText>
      </w:r>
      <w:r w:rsidR="00F65097">
        <w:fldChar w:fldCharType="separate"/>
      </w:r>
      <w:r w:rsidRPr="004A13E8">
        <w:rPr>
          <w:rFonts w:eastAsia="Calibri" w:cs="Calibri Light"/>
          <w:color w:val="0563C1"/>
          <w:szCs w:val="20"/>
          <w:u w:val="single"/>
          <w:lang w:eastAsia="sv-SE"/>
        </w:rPr>
        <w:t>procurement@eiturbanmobility.eu</w:t>
      </w:r>
      <w:r w:rsidR="00F65097">
        <w:rPr>
          <w:rFonts w:eastAsia="Calibri" w:cs="Calibri Light"/>
          <w:color w:val="0563C1"/>
          <w:szCs w:val="20"/>
          <w:u w:val="single"/>
          <w:lang w:eastAsia="sv-SE"/>
        </w:rPr>
        <w:fldChar w:fldCharType="end"/>
      </w:r>
      <w:bookmarkEnd w:id="25"/>
    </w:p>
    <w:p w14:paraId="084669B6" w14:textId="77777777" w:rsidR="003E3E53" w:rsidRDefault="003E3E53" w:rsidP="003E3E53">
      <w:pPr>
        <w:tabs>
          <w:tab w:val="center" w:pos="4366"/>
        </w:tabs>
        <w:spacing w:after="0"/>
        <w:ind w:left="720"/>
        <w:jc w:val="both"/>
        <w:rPr>
          <w:rFonts w:eastAsia="Calibri" w:cs="Calibri Light"/>
          <w:color w:val="000000"/>
          <w:szCs w:val="20"/>
          <w:lang w:eastAsia="sv-SE"/>
        </w:rPr>
      </w:pPr>
    </w:p>
    <w:p w14:paraId="0E93787B" w14:textId="69D49162" w:rsidR="00277135" w:rsidRPr="004A13E8" w:rsidRDefault="75324B93" w:rsidP="426DE8F5">
      <w:pPr>
        <w:tabs>
          <w:tab w:val="center" w:pos="4366"/>
        </w:tabs>
        <w:spacing w:after="0"/>
        <w:ind w:left="720"/>
        <w:jc w:val="both"/>
        <w:rPr>
          <w:rFonts w:cs="Calibri Light"/>
          <w:highlight w:val="yellow"/>
          <w:lang w:eastAsia="sv-SE"/>
        </w:rPr>
      </w:pPr>
      <w:r w:rsidRPr="426DE8F5">
        <w:rPr>
          <w:rFonts w:eastAsia="Calibri" w:cs="Calibri Light"/>
          <w:b/>
          <w:bCs/>
          <w:color w:val="000000"/>
          <w:lang w:eastAsia="sv-SE"/>
        </w:rPr>
        <w:t>Contact name</w:t>
      </w:r>
      <w:r w:rsidRPr="0094034E">
        <w:rPr>
          <w:rFonts w:eastAsia="Calibri" w:cs="Calibri Light"/>
          <w:color w:val="000000"/>
          <w:lang w:eastAsia="sv-SE"/>
        </w:rPr>
        <w:t xml:space="preserve">: </w:t>
      </w:r>
      <w:r w:rsidRPr="0094034E">
        <w:rPr>
          <w:rFonts w:cs="Calibri Light"/>
        </w:rPr>
        <w:t>Mr. Lluis Puerto (RIS Director)</w:t>
      </w:r>
      <w:r w:rsidR="5C5CE8AB" w:rsidRPr="0094034E">
        <w:rPr>
          <w:rFonts w:cs="Calibri Light"/>
        </w:rPr>
        <w:t xml:space="preserve"> and Mr. Josep Marí</w:t>
      </w:r>
      <w:r w:rsidR="2F84EA05" w:rsidRPr="0094034E">
        <w:rPr>
          <w:rFonts w:cs="Calibri Light"/>
        </w:rPr>
        <w:t xml:space="preserve"> </w:t>
      </w:r>
      <w:r w:rsidR="5C5CE8AB" w:rsidRPr="0094034E">
        <w:rPr>
          <w:rFonts w:cs="Calibri Light"/>
        </w:rPr>
        <w:t>(RIS Officer)</w:t>
      </w:r>
      <w:r w:rsidR="4939687B" w:rsidRPr="0094034E">
        <w:rPr>
          <w:rFonts w:cs="Calibri Light"/>
        </w:rPr>
        <w:t xml:space="preserve"> at EIT URBAN MOBILITY.</w:t>
      </w:r>
    </w:p>
    <w:p w14:paraId="105230E1" w14:textId="319ACF4D" w:rsidR="003E3E53" w:rsidRPr="00BF1879" w:rsidRDefault="003E3E53" w:rsidP="003E3E53">
      <w:pPr>
        <w:spacing w:before="120" w:after="120"/>
        <w:jc w:val="both"/>
        <w:rPr>
          <w:rFonts w:eastAsia="Calibri" w:cs="Calibri Light"/>
          <w:b/>
          <w:szCs w:val="20"/>
          <w:lang w:eastAsia="sv-SE"/>
        </w:rPr>
      </w:pPr>
      <w:r w:rsidRPr="00BF1879">
        <w:rPr>
          <w:rFonts w:eastAsia="Calibri" w:cs="Calibri Light"/>
          <w:b/>
          <w:szCs w:val="20"/>
          <w:lang w:eastAsia="sv-SE"/>
        </w:rPr>
        <w:t xml:space="preserve">The proposal shall </w:t>
      </w:r>
      <w:r w:rsidR="00AD0C7C" w:rsidRPr="00BF1879">
        <w:rPr>
          <w:rFonts w:eastAsia="Calibri" w:cs="Calibri Light"/>
          <w:b/>
          <w:szCs w:val="20"/>
          <w:lang w:eastAsia="sv-SE"/>
        </w:rPr>
        <w:t>contain</w:t>
      </w:r>
      <w:r w:rsidRPr="00BF1879">
        <w:rPr>
          <w:rFonts w:eastAsia="Calibri" w:cs="Calibri Light"/>
          <w:b/>
          <w:szCs w:val="20"/>
          <w:lang w:eastAsia="sv-SE"/>
        </w:rPr>
        <w:t>:</w:t>
      </w:r>
    </w:p>
    <w:p w14:paraId="59A2A152" w14:textId="4083C6F4" w:rsidR="003505EC" w:rsidRDefault="003505EC" w:rsidP="00D90AD3">
      <w:pPr>
        <w:pStyle w:val="ListParagraph"/>
        <w:widowControl w:val="0"/>
        <w:numPr>
          <w:ilvl w:val="0"/>
          <w:numId w:val="25"/>
        </w:numPr>
        <w:autoSpaceDE w:val="0"/>
        <w:autoSpaceDN w:val="0"/>
        <w:spacing w:after="0" w:line="240" w:lineRule="auto"/>
      </w:pPr>
      <w:r w:rsidRPr="00DC21B4">
        <w:rPr>
          <w:rFonts w:cs="Calibri Light"/>
        </w:rPr>
        <w:t>Evidence of official registration in Bulgaria (e.g. company registration certificate, NGO license, or equivalent documentation demonstrating legal status in Bulgaria).</w:t>
      </w:r>
      <w:r w:rsidR="00DC21B4" w:rsidRPr="00DC21B4">
        <w:rPr>
          <w:rFonts w:cs="Calibri Light"/>
        </w:rPr>
        <w:t xml:space="preserve"> Optionally, the European Commission template could be used, accessible through the following URL:</w:t>
      </w:r>
      <w:r w:rsidR="00DC21B4">
        <w:rPr>
          <w:sz w:val="22"/>
          <w:szCs w:val="24"/>
        </w:rPr>
        <w:t xml:space="preserve"> </w:t>
      </w:r>
      <w:hyperlink r:id="rId21" w:history="1">
        <w:r w:rsidR="00DC21B4" w:rsidRPr="00DC21B4">
          <w:t>https://commission.europa.eu/publications/business-partners-legal-entities-and-bank-accounts_en</w:t>
        </w:r>
      </w:hyperlink>
      <w:r w:rsidR="00DC21B4" w:rsidRPr="00DC21B4">
        <w:t>.</w:t>
      </w:r>
      <w:r w:rsidR="00DC21B4">
        <w:rPr>
          <w:sz w:val="22"/>
          <w:szCs w:val="24"/>
        </w:rPr>
        <w:t xml:space="preserve"> </w:t>
      </w:r>
    </w:p>
    <w:p w14:paraId="463276EF" w14:textId="24F569A9" w:rsidR="00A66958" w:rsidRDefault="28A5E63F" w:rsidP="00D90AD3">
      <w:pPr>
        <w:pStyle w:val="ListParagraph"/>
        <w:widowControl w:val="0"/>
        <w:numPr>
          <w:ilvl w:val="0"/>
          <w:numId w:val="25"/>
        </w:numPr>
        <w:autoSpaceDE w:val="0"/>
        <w:autoSpaceDN w:val="0"/>
        <w:spacing w:after="0" w:line="240" w:lineRule="auto"/>
      </w:pPr>
      <w:r>
        <w:t xml:space="preserve">Annex 2 correctly filled in, </w:t>
      </w:r>
      <w:r w:rsidR="5ED03357">
        <w:t>with</w:t>
      </w:r>
      <w:r>
        <w:t xml:space="preserve"> </w:t>
      </w:r>
      <w:r w:rsidRPr="63DC4369">
        <w:rPr>
          <w:u w:val="single"/>
        </w:rPr>
        <w:t>the financial offer</w:t>
      </w:r>
      <w:r>
        <w:t xml:space="preserve"> (EUR </w:t>
      </w:r>
      <w:r w:rsidR="00154EB7" w:rsidRPr="00154EB7">
        <w:t>140,406</w:t>
      </w:r>
      <w:r w:rsidR="00154EB7">
        <w:t xml:space="preserve"> </w:t>
      </w:r>
      <w:r>
        <w:t>or less)</w:t>
      </w:r>
      <w:r w:rsidR="36BD48AA">
        <w:t xml:space="preserve"> and </w:t>
      </w:r>
      <w:r w:rsidR="36BD48AA" w:rsidRPr="63DC4369">
        <w:rPr>
          <w:u w:val="single"/>
        </w:rPr>
        <w:t xml:space="preserve">the </w:t>
      </w:r>
      <w:r w:rsidRPr="63DC4369">
        <w:rPr>
          <w:u w:val="single"/>
        </w:rPr>
        <w:t>technical offer</w:t>
      </w:r>
      <w:r w:rsidR="5B3E4711">
        <w:t>, including</w:t>
      </w:r>
      <w:r w:rsidR="0044378E">
        <w:t xml:space="preserve"> the name of the proposed expert(s)</w:t>
      </w:r>
    </w:p>
    <w:p w14:paraId="08B30B40" w14:textId="77777777" w:rsidR="00FA1AD2" w:rsidRDefault="0075724A" w:rsidP="00D90AD3">
      <w:pPr>
        <w:pStyle w:val="ListParagraph"/>
        <w:widowControl w:val="0"/>
        <w:numPr>
          <w:ilvl w:val="0"/>
          <w:numId w:val="25"/>
        </w:numPr>
        <w:autoSpaceDE w:val="0"/>
        <w:autoSpaceDN w:val="0"/>
        <w:spacing w:after="0" w:line="240" w:lineRule="auto"/>
      </w:pPr>
      <w:r>
        <w:t xml:space="preserve">Annex </w:t>
      </w:r>
      <w:r w:rsidR="00FA1AD2">
        <w:t xml:space="preserve">6 correctly filled in, including as attachments the documents that would prove the numbers stated in the checklist. </w:t>
      </w:r>
    </w:p>
    <w:p w14:paraId="07F5C042" w14:textId="485D88F0" w:rsidR="00A66958" w:rsidRDefault="00A66958" w:rsidP="00D90AD3">
      <w:pPr>
        <w:pStyle w:val="ListParagraph"/>
        <w:widowControl w:val="0"/>
        <w:numPr>
          <w:ilvl w:val="0"/>
          <w:numId w:val="25"/>
        </w:numPr>
        <w:autoSpaceDE w:val="0"/>
        <w:autoSpaceDN w:val="0"/>
        <w:spacing w:after="0" w:line="240" w:lineRule="auto"/>
      </w:pPr>
      <w:r>
        <w:t>The Activity Plan for the period 1</w:t>
      </w:r>
      <w:r w:rsidR="0003049E" w:rsidRPr="0003049E">
        <w:rPr>
          <w:vertAlign w:val="superscript"/>
        </w:rPr>
        <w:t>st</w:t>
      </w:r>
      <w:r>
        <w:t xml:space="preserve"> November 2025 to 31</w:t>
      </w:r>
      <w:r w:rsidR="0003049E" w:rsidRPr="0003049E">
        <w:rPr>
          <w:vertAlign w:val="superscript"/>
        </w:rPr>
        <w:t>st</w:t>
      </w:r>
      <w:r>
        <w:t xml:space="preserve"> December 2026 (1 year and 2 months) based on the template in Annex 4. </w:t>
      </w:r>
    </w:p>
    <w:p w14:paraId="6254A23C" w14:textId="57C35616" w:rsidR="00BD787F" w:rsidRDefault="0044378E" w:rsidP="00D90AD3">
      <w:pPr>
        <w:pStyle w:val="ListParagraph"/>
        <w:widowControl w:val="0"/>
        <w:numPr>
          <w:ilvl w:val="0"/>
          <w:numId w:val="25"/>
        </w:numPr>
        <w:autoSpaceDE w:val="0"/>
        <w:autoSpaceDN w:val="0"/>
        <w:spacing w:after="0" w:line="240" w:lineRule="auto"/>
      </w:pPr>
      <w:r>
        <w:t>Annex 3 correctly filled in</w:t>
      </w:r>
      <w:r w:rsidR="00FA1AD2">
        <w:t>.</w:t>
      </w:r>
    </w:p>
    <w:p w14:paraId="2A66995D" w14:textId="77777777" w:rsidR="006A48E2" w:rsidRDefault="006A48E2" w:rsidP="006A48E2">
      <w:pPr>
        <w:widowControl w:val="0"/>
        <w:autoSpaceDE w:val="0"/>
        <w:autoSpaceDN w:val="0"/>
        <w:spacing w:after="0" w:line="240" w:lineRule="auto"/>
      </w:pPr>
    </w:p>
    <w:p w14:paraId="6A029230" w14:textId="43C690F0" w:rsidR="006A48E2" w:rsidRPr="001D5E0A" w:rsidRDefault="006A48E2" w:rsidP="006A48E2">
      <w:pPr>
        <w:spacing w:before="120" w:after="120"/>
        <w:jc w:val="both"/>
        <w:rPr>
          <w:rFonts w:eastAsia="Calibri" w:cs="Calibri Light"/>
          <w:color w:val="000000"/>
          <w:szCs w:val="20"/>
          <w:lang w:val="en-US" w:eastAsia="sv-SE"/>
        </w:rPr>
      </w:pPr>
      <w:r w:rsidRPr="001D5E0A">
        <w:rPr>
          <w:rFonts w:eastAsia="Calibri" w:cs="Calibri Light"/>
          <w:b/>
          <w:color w:val="000000"/>
          <w:szCs w:val="20"/>
          <w:lang w:val="en-US" w:eastAsia="sv-SE"/>
        </w:rPr>
        <w:t>The email including the proposal from the bidder should be sent and delivered by</w:t>
      </w:r>
      <w:r>
        <w:rPr>
          <w:rFonts w:eastAsia="Calibri" w:cs="Calibri Light"/>
          <w:b/>
          <w:color w:val="000000"/>
          <w:szCs w:val="20"/>
          <w:lang w:val="en-US" w:eastAsia="sv-SE"/>
        </w:rPr>
        <w:t xml:space="preserve"> 11</w:t>
      </w:r>
      <w:r w:rsidRPr="006A48E2">
        <w:rPr>
          <w:rFonts w:cs="Calibri Light"/>
          <w:b/>
          <w:lang w:val="en-US"/>
        </w:rPr>
        <w:t xml:space="preserve">th September </w:t>
      </w:r>
      <w:r>
        <w:rPr>
          <w:rFonts w:cs="Calibri Light"/>
          <w:b/>
          <w:lang w:val="en-US"/>
        </w:rPr>
        <w:t>2025</w:t>
      </w:r>
      <w:r w:rsidRPr="001D5E0A">
        <w:rPr>
          <w:rFonts w:eastAsia="Calibri" w:cs="Calibri Light"/>
          <w:b/>
          <w:bCs/>
          <w:color w:val="000000"/>
          <w:szCs w:val="20"/>
          <w:lang w:val="en-US" w:eastAsia="sv-SE"/>
        </w:rPr>
        <w:t xml:space="preserve">, 16:00 </w:t>
      </w:r>
      <w:r w:rsidRPr="001D5E0A">
        <w:rPr>
          <w:rFonts w:eastAsia="Calibri" w:cs="Calibri Light"/>
          <w:b/>
          <w:color w:val="000000"/>
          <w:szCs w:val="20"/>
          <w:lang w:val="en-US" w:eastAsia="sv-SE"/>
        </w:rPr>
        <w:t>Central European Time.</w:t>
      </w:r>
    </w:p>
    <w:p w14:paraId="7FAF2E39" w14:textId="77777777" w:rsidR="006A48E2" w:rsidRPr="001D5E0A" w:rsidRDefault="006A48E2" w:rsidP="006A48E2">
      <w:pPr>
        <w:pStyle w:val="ListParagraph"/>
        <w:numPr>
          <w:ilvl w:val="0"/>
          <w:numId w:val="284"/>
        </w:numPr>
        <w:spacing w:before="60" w:after="60"/>
        <w:jc w:val="both"/>
        <w:rPr>
          <w:rFonts w:cs="Calibri Light"/>
          <w:lang w:val="en-US"/>
        </w:rPr>
      </w:pPr>
      <w:r w:rsidRPr="001D5E0A">
        <w:rPr>
          <w:rFonts w:cs="Calibri Light"/>
          <w:lang w:val="en-US"/>
        </w:rPr>
        <w:t xml:space="preserve">Proposal must be submitted in proper (legibly) scanned and non-editable PDF, which is accessible without entering a password. </w:t>
      </w:r>
    </w:p>
    <w:p w14:paraId="7E8D4B65" w14:textId="77777777" w:rsidR="006A48E2" w:rsidRPr="001D5E0A" w:rsidRDefault="006A48E2" w:rsidP="006A48E2">
      <w:pPr>
        <w:pStyle w:val="ListParagraph"/>
        <w:numPr>
          <w:ilvl w:val="0"/>
          <w:numId w:val="284"/>
        </w:numPr>
        <w:spacing w:before="60" w:after="60"/>
        <w:jc w:val="both"/>
        <w:rPr>
          <w:rFonts w:cs="Calibri Light"/>
          <w:lang w:val="en-US"/>
        </w:rPr>
      </w:pPr>
      <w:r w:rsidRPr="001D5E0A">
        <w:rPr>
          <w:rFonts w:cs="Calibri Light"/>
          <w:lang w:val="en-US"/>
        </w:rPr>
        <w:t>Proposal must be signed by the tenderer.</w:t>
      </w:r>
    </w:p>
    <w:p w14:paraId="0D926A4A" w14:textId="77777777" w:rsidR="006A48E2" w:rsidRPr="001D5E0A" w:rsidRDefault="006A48E2" w:rsidP="006A48E2">
      <w:pPr>
        <w:pStyle w:val="ListParagraph"/>
        <w:numPr>
          <w:ilvl w:val="0"/>
          <w:numId w:val="284"/>
        </w:numPr>
        <w:spacing w:before="60" w:after="60"/>
        <w:jc w:val="both"/>
        <w:rPr>
          <w:rFonts w:cs="Calibri Light"/>
          <w:lang w:val="en-US"/>
        </w:rPr>
      </w:pPr>
      <w:r w:rsidRPr="001D5E0A">
        <w:rPr>
          <w:rFonts w:cs="Calibri Light"/>
          <w:lang w:val="en-US"/>
        </w:rPr>
        <w:t>Proposal will be deemed timely submitted, if it is received by EIT Urban Mobility by the submission deadline. All risks associated with the delay or loss of the proposal shall be borne by the Tenderer only. EIT Urban Mobility will deem proposal received after the submission deadline invalid.</w:t>
      </w:r>
    </w:p>
    <w:p w14:paraId="45045174" w14:textId="77777777" w:rsidR="006A48E2" w:rsidRPr="001D5E0A" w:rsidRDefault="006A48E2" w:rsidP="006A48E2">
      <w:pPr>
        <w:pStyle w:val="ListParagraph"/>
        <w:numPr>
          <w:ilvl w:val="0"/>
          <w:numId w:val="284"/>
        </w:numPr>
        <w:spacing w:before="60" w:after="60"/>
        <w:jc w:val="both"/>
        <w:rPr>
          <w:rFonts w:cs="Calibri Light"/>
          <w:lang w:val="en-US"/>
        </w:rPr>
      </w:pPr>
      <w:r w:rsidRPr="5D58F87B">
        <w:rPr>
          <w:rFonts w:cs="Calibri Light"/>
          <w:lang w:val="en-US"/>
        </w:rPr>
        <w:t xml:space="preserve">Proposal should be concise and clear. The tenderer’s proposal will be incorporated into any contract that results from this procedure. Tenderer is, therefore, cautioned not to make claims or statements that they are not prepared to commit to contractually. Subsequent modifications and counterproposals, if applicable, shall also become an integral part of any resulting contract. </w:t>
      </w:r>
    </w:p>
    <w:p w14:paraId="1132D312" w14:textId="0A4B2F36" w:rsidR="006A48E2" w:rsidRPr="006A48E2" w:rsidRDefault="006A48E2" w:rsidP="006A48E2">
      <w:pPr>
        <w:pStyle w:val="ListParagraph"/>
        <w:numPr>
          <w:ilvl w:val="0"/>
          <w:numId w:val="284"/>
        </w:numPr>
        <w:spacing w:before="60" w:after="60"/>
        <w:jc w:val="both"/>
        <w:rPr>
          <w:rFonts w:cs="Calibri Light"/>
          <w:lang w:val="en-US"/>
        </w:rPr>
      </w:pPr>
      <w:r w:rsidRPr="5D58F87B">
        <w:rPr>
          <w:rFonts w:cs="Calibri Light"/>
          <w:lang w:val="en-US"/>
        </w:rPr>
        <w:t>The tenderer represents that the individual submitting the natural or legal entity’s proposal is duly authorized to bind its entity to the proposal as submitted. The tenderer also affirms that it has read the request for proposals and has the experience, skills, and resources to perform, according to conditions set forth in this proposal and the tenderers’ proposal.</w:t>
      </w:r>
    </w:p>
    <w:p w14:paraId="1A7111C7" w14:textId="1869CF13" w:rsidR="003E3E53" w:rsidRPr="00556B48" w:rsidRDefault="3CD0465D" w:rsidP="003E3E53">
      <w:pPr>
        <w:pStyle w:val="Heading2"/>
        <w:ind w:left="0" w:right="1282"/>
        <w:jc w:val="both"/>
        <w:rPr>
          <w:rFonts w:eastAsia="Times New Roman" w:cs="Calibri Light"/>
          <w:b w:val="0"/>
          <w:bCs w:val="0"/>
          <w:lang w:eastAsia="sv-SE"/>
        </w:rPr>
      </w:pPr>
      <w:bookmarkStart w:id="26" w:name="_Toc1932654745"/>
      <w:bookmarkStart w:id="27" w:name="_Toc206684759"/>
      <w:r w:rsidRPr="7295751F">
        <w:rPr>
          <w:rFonts w:eastAsia="Times New Roman" w:cs="Calibri Light"/>
          <w:b w:val="0"/>
          <w:bCs w:val="0"/>
          <w:lang w:eastAsia="sv-SE"/>
        </w:rPr>
        <w:t>3.</w:t>
      </w:r>
      <w:r w:rsidR="135ABAAC" w:rsidRPr="7295751F">
        <w:rPr>
          <w:rFonts w:eastAsia="Times New Roman" w:cs="Calibri Light"/>
          <w:b w:val="0"/>
          <w:bCs w:val="0"/>
          <w:lang w:eastAsia="sv-SE"/>
        </w:rPr>
        <w:t>3</w:t>
      </w:r>
      <w:r w:rsidRPr="7295751F">
        <w:rPr>
          <w:rFonts w:eastAsia="Times New Roman" w:cs="Calibri Light"/>
          <w:b w:val="0"/>
          <w:bCs w:val="0"/>
          <w:lang w:eastAsia="sv-SE"/>
        </w:rPr>
        <w:t>. Minimum requirements</w:t>
      </w:r>
      <w:bookmarkEnd w:id="26"/>
      <w:bookmarkEnd w:id="27"/>
    </w:p>
    <w:p w14:paraId="5D84F7ED" w14:textId="1D217D93" w:rsidR="003E3E53" w:rsidRDefault="003E3E53" w:rsidP="003E3E53">
      <w:pPr>
        <w:spacing w:before="60" w:after="60"/>
        <w:jc w:val="both"/>
        <w:rPr>
          <w:rFonts w:cs="Calibri Light"/>
        </w:rPr>
      </w:pPr>
      <w:r w:rsidRPr="004A13E8">
        <w:rPr>
          <w:rFonts w:cs="Calibri Light"/>
        </w:rPr>
        <w:t>The following documents and declarations are to be submitted together with the tender by the tenderer (in case of a group of tenderers, this applies to each member). In order to be considered valid, proposals must include:</w:t>
      </w:r>
    </w:p>
    <w:p w14:paraId="7C2FA70F" w14:textId="7BFCB813" w:rsidR="00F93C67" w:rsidRPr="001D5E0A" w:rsidRDefault="11A30C16" w:rsidP="00D90AD3">
      <w:pPr>
        <w:pStyle w:val="ListParagraph"/>
        <w:numPr>
          <w:ilvl w:val="0"/>
          <w:numId w:val="14"/>
        </w:numPr>
        <w:spacing w:before="60" w:after="60"/>
        <w:ind w:left="720"/>
        <w:jc w:val="both"/>
        <w:rPr>
          <w:rFonts w:cs="Calibri Light"/>
        </w:rPr>
      </w:pPr>
      <w:r w:rsidRPr="63DC4369">
        <w:rPr>
          <w:rFonts w:cs="Calibri Light"/>
        </w:rPr>
        <w:t xml:space="preserve">Tender Submission form and Tender declaration form (Annex 2 and 3) together with supporting documents evidencing the legal name of the Tenderer </w:t>
      </w:r>
      <w:r w:rsidR="0652B791" w:rsidRPr="63DC4369">
        <w:rPr>
          <w:rFonts w:cs="Calibri Light"/>
        </w:rPr>
        <w:t xml:space="preserve">and its physical presence in the country </w:t>
      </w:r>
      <w:r w:rsidRPr="63DC4369">
        <w:rPr>
          <w:rFonts w:cs="Calibri Light"/>
        </w:rPr>
        <w:t>(copy of the official documents showing the name of legal person, the address of its head office, and the registration number given to it by the national authorities</w:t>
      </w:r>
      <w:r w:rsidR="42DFC48A" w:rsidRPr="63DC4369">
        <w:rPr>
          <w:rFonts w:cs="Calibri Light"/>
        </w:rPr>
        <w:t xml:space="preserve"> if applicable</w:t>
      </w:r>
      <w:r w:rsidRPr="63DC4369">
        <w:rPr>
          <w:rFonts w:cs="Calibri Light"/>
        </w:rPr>
        <w:t>);</w:t>
      </w:r>
    </w:p>
    <w:p w14:paraId="2D27C2BA" w14:textId="674A211E" w:rsidR="5981A465" w:rsidRDefault="5981A465" w:rsidP="00D90AD3">
      <w:pPr>
        <w:pStyle w:val="ListParagraph"/>
        <w:numPr>
          <w:ilvl w:val="0"/>
          <w:numId w:val="14"/>
        </w:numPr>
        <w:spacing w:before="60" w:after="60"/>
        <w:ind w:left="720"/>
        <w:jc w:val="both"/>
        <w:rPr>
          <w:rFonts w:cs="Calibri Light"/>
        </w:rPr>
      </w:pPr>
      <w:r w:rsidRPr="023F6FEC">
        <w:rPr>
          <w:rFonts w:cs="Calibri Light"/>
        </w:rPr>
        <w:t xml:space="preserve">Annex 4: Activity plan covering the first 14 months of work (from </w:t>
      </w:r>
      <w:r w:rsidR="00F6135B">
        <w:rPr>
          <w:rFonts w:cs="Calibri Light"/>
        </w:rPr>
        <w:t>1</w:t>
      </w:r>
      <w:r w:rsidR="00F6135B" w:rsidRPr="00F6135B">
        <w:rPr>
          <w:rFonts w:cs="Calibri Light"/>
          <w:vertAlign w:val="superscript"/>
        </w:rPr>
        <w:t>st</w:t>
      </w:r>
      <w:r w:rsidR="00F6135B">
        <w:rPr>
          <w:rFonts w:cs="Calibri Light"/>
        </w:rPr>
        <w:t xml:space="preserve"> </w:t>
      </w:r>
      <w:r w:rsidRPr="023F6FEC">
        <w:rPr>
          <w:rFonts w:cs="Calibri Light"/>
        </w:rPr>
        <w:t xml:space="preserve">November 2025 to </w:t>
      </w:r>
      <w:r w:rsidR="00F6135B">
        <w:rPr>
          <w:rFonts w:cs="Calibri Light"/>
        </w:rPr>
        <w:t>31</w:t>
      </w:r>
      <w:r w:rsidR="00F6135B" w:rsidRPr="00F6135B">
        <w:rPr>
          <w:rFonts w:cs="Calibri Light"/>
          <w:vertAlign w:val="superscript"/>
        </w:rPr>
        <w:t>st</w:t>
      </w:r>
      <w:r w:rsidR="00F6135B">
        <w:rPr>
          <w:rFonts w:cs="Calibri Light"/>
        </w:rPr>
        <w:t xml:space="preserve"> </w:t>
      </w:r>
      <w:r w:rsidRPr="023F6FEC">
        <w:rPr>
          <w:rFonts w:cs="Calibri Light"/>
        </w:rPr>
        <w:t>December 2026</w:t>
      </w:r>
      <w:r w:rsidR="3673D17B" w:rsidRPr="023F6FEC">
        <w:rPr>
          <w:rFonts w:cs="Calibri Light"/>
        </w:rPr>
        <w:t>)</w:t>
      </w:r>
      <w:r w:rsidR="00FA1AD2">
        <w:rPr>
          <w:rFonts w:cs="Calibri Light"/>
        </w:rPr>
        <w:t xml:space="preserve">. </w:t>
      </w:r>
    </w:p>
    <w:p w14:paraId="235DE52D" w14:textId="0BA4B363" w:rsidR="00FA1AD2" w:rsidRDefault="00FA1AD2" w:rsidP="00D90AD3">
      <w:pPr>
        <w:pStyle w:val="ListParagraph"/>
        <w:numPr>
          <w:ilvl w:val="0"/>
          <w:numId w:val="14"/>
        </w:numPr>
        <w:spacing w:before="60" w:after="60"/>
        <w:ind w:left="720"/>
        <w:jc w:val="both"/>
        <w:rPr>
          <w:rFonts w:cs="Calibri Light"/>
        </w:rPr>
      </w:pPr>
      <w:r>
        <w:rPr>
          <w:rFonts w:cs="Calibri Light"/>
        </w:rPr>
        <w:t xml:space="preserve">Annex 6 correctly filled in. </w:t>
      </w:r>
    </w:p>
    <w:p w14:paraId="4B28E81B" w14:textId="4C817042" w:rsidR="00F93C67" w:rsidRPr="001D5E0A" w:rsidRDefault="00F93C67" w:rsidP="00D90AD3">
      <w:pPr>
        <w:pStyle w:val="ListParagraph"/>
        <w:numPr>
          <w:ilvl w:val="0"/>
          <w:numId w:val="14"/>
        </w:numPr>
        <w:spacing w:before="60" w:after="60"/>
        <w:ind w:left="720"/>
        <w:jc w:val="both"/>
        <w:rPr>
          <w:rFonts w:cs="Calibri Light"/>
        </w:rPr>
      </w:pPr>
      <w:r w:rsidRPr="001D5E0A">
        <w:rPr>
          <w:rFonts w:cs="Calibri Light"/>
        </w:rPr>
        <w:t>An administrative part including all the information and documents required by the EIT U</w:t>
      </w:r>
      <w:r w:rsidR="00E778C4">
        <w:rPr>
          <w:rFonts w:cs="Calibri Light"/>
        </w:rPr>
        <w:t xml:space="preserve">rban </w:t>
      </w:r>
      <w:r w:rsidRPr="001D5E0A">
        <w:rPr>
          <w:rFonts w:cs="Calibri Light"/>
        </w:rPr>
        <w:t>M</w:t>
      </w:r>
      <w:r w:rsidR="00E778C4">
        <w:rPr>
          <w:rFonts w:cs="Calibri Light"/>
        </w:rPr>
        <w:t>obility</w:t>
      </w:r>
      <w:r w:rsidRPr="001D5E0A">
        <w:rPr>
          <w:rFonts w:cs="Calibri Light"/>
        </w:rPr>
        <w:t xml:space="preserve"> for the evaluation of the tender on the basis of the exclusion and selection criteria set out below;</w:t>
      </w:r>
    </w:p>
    <w:p w14:paraId="7B5D1ECF" w14:textId="6CAD5A54" w:rsidR="00F93C67" w:rsidRPr="003E3E53" w:rsidRDefault="00F93C67" w:rsidP="00D90AD3">
      <w:pPr>
        <w:pStyle w:val="ListParagraph"/>
        <w:numPr>
          <w:ilvl w:val="0"/>
          <w:numId w:val="14"/>
        </w:numPr>
        <w:spacing w:before="60" w:after="60"/>
        <w:ind w:left="720"/>
        <w:jc w:val="both"/>
        <w:rPr>
          <w:rFonts w:cs="Calibri Light"/>
        </w:rPr>
      </w:pPr>
      <w:r w:rsidRPr="001D5E0A">
        <w:rPr>
          <w:rFonts w:cs="Calibri Light"/>
        </w:rPr>
        <w:t>Any amendment requests after the tender submission deadline and the notification of award shall not be accepted or discussed. EIT U</w:t>
      </w:r>
      <w:r w:rsidR="00E778C4">
        <w:rPr>
          <w:rFonts w:cs="Calibri Light"/>
        </w:rPr>
        <w:t xml:space="preserve">rban </w:t>
      </w:r>
      <w:r w:rsidRPr="001D5E0A">
        <w:rPr>
          <w:rFonts w:cs="Calibri Light"/>
        </w:rPr>
        <w:t>M</w:t>
      </w:r>
      <w:r w:rsidR="00E778C4">
        <w:rPr>
          <w:rFonts w:cs="Calibri Light"/>
        </w:rPr>
        <w:t>obility</w:t>
      </w:r>
      <w:r w:rsidRPr="001D5E0A">
        <w:rPr>
          <w:rFonts w:cs="Calibri Light"/>
        </w:rPr>
        <w:t xml:space="preserve"> is not obliged to accept any amendment requests, proposed modifications nor contract templates.</w:t>
      </w:r>
    </w:p>
    <w:p w14:paraId="6869CA0D" w14:textId="66C54FB8" w:rsidR="003E3E53" w:rsidRPr="00556B48" w:rsidRDefault="3CD0465D" w:rsidP="003E3E53">
      <w:pPr>
        <w:pStyle w:val="Heading2"/>
        <w:ind w:left="0" w:right="1282"/>
        <w:jc w:val="both"/>
        <w:rPr>
          <w:rFonts w:eastAsia="Times New Roman" w:cs="Calibri Light"/>
          <w:b w:val="0"/>
          <w:bCs w:val="0"/>
          <w:lang w:eastAsia="sv-SE"/>
        </w:rPr>
      </w:pPr>
      <w:bookmarkStart w:id="28" w:name="_Toc1917803124"/>
      <w:bookmarkStart w:id="29" w:name="_Toc206684760"/>
      <w:r w:rsidRPr="7295751F">
        <w:rPr>
          <w:rFonts w:eastAsia="Times New Roman" w:cs="Calibri Light"/>
          <w:b w:val="0"/>
          <w:bCs w:val="0"/>
          <w:lang w:eastAsia="sv-SE"/>
        </w:rPr>
        <w:lastRenderedPageBreak/>
        <w:t>3.</w:t>
      </w:r>
      <w:r w:rsidR="0906FEF5" w:rsidRPr="7295751F">
        <w:rPr>
          <w:rFonts w:eastAsia="Times New Roman" w:cs="Calibri Light"/>
          <w:b w:val="0"/>
          <w:bCs w:val="0"/>
          <w:lang w:eastAsia="sv-SE"/>
        </w:rPr>
        <w:t>4</w:t>
      </w:r>
      <w:r w:rsidRPr="7295751F">
        <w:rPr>
          <w:rFonts w:eastAsia="Times New Roman" w:cs="Calibri Light"/>
          <w:b w:val="0"/>
          <w:bCs w:val="0"/>
          <w:lang w:eastAsia="sv-SE"/>
        </w:rPr>
        <w:t>. Validity of the proposal</w:t>
      </w:r>
      <w:bookmarkEnd w:id="28"/>
      <w:bookmarkEnd w:id="29"/>
    </w:p>
    <w:p w14:paraId="3EB342F1" w14:textId="18602744" w:rsidR="003E3E53" w:rsidRPr="004A13E8" w:rsidRDefault="003E3E53" w:rsidP="003E3E53">
      <w:pPr>
        <w:spacing w:before="60" w:after="60"/>
        <w:jc w:val="both"/>
        <w:rPr>
          <w:rFonts w:cs="Calibri Light"/>
        </w:rPr>
      </w:pPr>
      <w:r w:rsidRPr="004A13E8">
        <w:rPr>
          <w:rFonts w:cs="Calibri Light"/>
        </w:rPr>
        <w:t xml:space="preserve">Tenderers are bound by </w:t>
      </w:r>
      <w:r w:rsidR="00AF0493">
        <w:rPr>
          <w:rFonts w:cs="Calibri Light"/>
        </w:rPr>
        <w:t>their</w:t>
      </w:r>
      <w:r w:rsidR="00AF0493" w:rsidRPr="004A13E8">
        <w:rPr>
          <w:rFonts w:cs="Calibri Light"/>
        </w:rPr>
        <w:t xml:space="preserve"> </w:t>
      </w:r>
      <w:r w:rsidRPr="004A13E8">
        <w:rPr>
          <w:rFonts w:cs="Calibri Light"/>
        </w:rPr>
        <w:t xml:space="preserve">proposal </w:t>
      </w:r>
      <w:r w:rsidR="00F462F5">
        <w:rPr>
          <w:rFonts w:cs="Calibri Light"/>
        </w:rPr>
        <w:t>6</w:t>
      </w:r>
      <w:r w:rsidRPr="004A13E8">
        <w:rPr>
          <w:rFonts w:cs="Calibri Light"/>
        </w:rPr>
        <w:t>0 days after the deadline for submitting the proposal or until they have been notified of non-award</w:t>
      </w:r>
      <w:r w:rsidR="00497007">
        <w:rPr>
          <w:rFonts w:cs="Calibri Light"/>
        </w:rPr>
        <w:t>, whichever period is longer</w:t>
      </w:r>
      <w:r w:rsidRPr="004A13E8">
        <w:rPr>
          <w:rFonts w:cs="Calibri Light"/>
        </w:rPr>
        <w:t xml:space="preserve">. </w:t>
      </w:r>
    </w:p>
    <w:p w14:paraId="7E1BE3E6" w14:textId="105B36D6" w:rsidR="003E3E53" w:rsidRPr="004A13E8" w:rsidRDefault="003E3E53" w:rsidP="003E3E53">
      <w:pPr>
        <w:spacing w:before="60" w:after="60"/>
        <w:jc w:val="both"/>
        <w:rPr>
          <w:rFonts w:cs="Calibri Light"/>
        </w:rPr>
      </w:pPr>
      <w:r w:rsidRPr="004A13E8">
        <w:rPr>
          <w:rFonts w:cs="Calibri Light"/>
        </w:rPr>
        <w:t xml:space="preserve">The winners must maintain its proposal for a further </w:t>
      </w:r>
      <w:r w:rsidR="00F462F5">
        <w:rPr>
          <w:rFonts w:cs="Calibri Light"/>
        </w:rPr>
        <w:t>6</w:t>
      </w:r>
      <w:r w:rsidRPr="004A13E8">
        <w:rPr>
          <w:rFonts w:cs="Calibri Light"/>
        </w:rPr>
        <w:t>0 days to close the contract.</w:t>
      </w:r>
    </w:p>
    <w:p w14:paraId="4ACA328F" w14:textId="148C24E7" w:rsidR="003E3E53" w:rsidRPr="004A13E8" w:rsidRDefault="003E3E53" w:rsidP="003E3E53">
      <w:pPr>
        <w:spacing w:before="120" w:after="120"/>
        <w:jc w:val="both"/>
        <w:rPr>
          <w:rFonts w:cs="Calibri Light"/>
        </w:rPr>
      </w:pPr>
      <w:r w:rsidRPr="004A13E8">
        <w:rPr>
          <w:rFonts w:cs="Calibri Light"/>
        </w:rPr>
        <w:t xml:space="preserve">Proposals not following the instructions of this Request for Proposal can be rejected by </w:t>
      </w:r>
      <w:r w:rsidRPr="004A13E8">
        <w:rPr>
          <w:rFonts w:eastAsia="Calibri" w:cs="Calibri Light"/>
          <w:color w:val="000000"/>
          <w:szCs w:val="20"/>
          <w:lang w:eastAsia="sv-SE"/>
        </w:rPr>
        <w:t>EIT Urban Mobility</w:t>
      </w:r>
      <w:r w:rsidRPr="004A13E8">
        <w:rPr>
          <w:rFonts w:cs="Calibri Light"/>
        </w:rPr>
        <w:t>.</w:t>
      </w:r>
    </w:p>
    <w:p w14:paraId="025B062A" w14:textId="47F978C7" w:rsidR="003E3E53" w:rsidRPr="00556B48" w:rsidRDefault="3CD0465D" w:rsidP="003E3E53">
      <w:pPr>
        <w:pStyle w:val="Heading2"/>
        <w:ind w:left="0" w:right="1282"/>
        <w:jc w:val="both"/>
        <w:rPr>
          <w:rFonts w:eastAsia="Times New Roman" w:cs="Calibri Light"/>
          <w:b w:val="0"/>
          <w:bCs w:val="0"/>
          <w:lang w:eastAsia="sv-SE"/>
        </w:rPr>
      </w:pPr>
      <w:bookmarkStart w:id="30" w:name="_Toc275752255"/>
      <w:bookmarkStart w:id="31" w:name="_Toc206684761"/>
      <w:r w:rsidRPr="7295751F">
        <w:rPr>
          <w:rFonts w:eastAsia="Times New Roman" w:cs="Calibri Light"/>
          <w:b w:val="0"/>
          <w:bCs w:val="0"/>
          <w:lang w:eastAsia="sv-SE"/>
        </w:rPr>
        <w:t>3.</w:t>
      </w:r>
      <w:r w:rsidR="0906FEF5" w:rsidRPr="7295751F">
        <w:rPr>
          <w:rFonts w:eastAsia="Times New Roman" w:cs="Calibri Light"/>
          <w:b w:val="0"/>
          <w:bCs w:val="0"/>
          <w:lang w:eastAsia="sv-SE"/>
        </w:rPr>
        <w:t>5</w:t>
      </w:r>
      <w:r w:rsidRPr="7295751F">
        <w:rPr>
          <w:rFonts w:eastAsia="Times New Roman" w:cs="Calibri Light"/>
          <w:b w:val="0"/>
          <w:bCs w:val="0"/>
          <w:lang w:eastAsia="sv-SE"/>
        </w:rPr>
        <w:t>. Additional information before the deadline for submitting proposals</w:t>
      </w:r>
      <w:bookmarkEnd w:id="30"/>
      <w:bookmarkEnd w:id="31"/>
    </w:p>
    <w:p w14:paraId="7D88D597" w14:textId="0576F1CD" w:rsidR="00F715E3" w:rsidRDefault="003E3E53" w:rsidP="00F715E3">
      <w:pPr>
        <w:spacing w:before="120" w:after="120"/>
        <w:jc w:val="both"/>
        <w:rPr>
          <w:rFonts w:cs="Calibri Light"/>
          <w:szCs w:val="20"/>
        </w:rPr>
      </w:pPr>
      <w:r w:rsidRPr="004A13E8">
        <w:rPr>
          <w:rFonts w:cs="Calibri Light"/>
          <w:szCs w:val="20"/>
        </w:rPr>
        <w:t xml:space="preserve">The instructions to the tenderers should be clear enough to avoid the tenderers having to request additional information during the procedure. In case the tenderer is in need of additional information, please address it to the address below. </w:t>
      </w:r>
    </w:p>
    <w:p w14:paraId="32465DD9" w14:textId="168310CC" w:rsidR="00F715E3" w:rsidRPr="004A13E8" w:rsidRDefault="00F715E3" w:rsidP="00F715E3">
      <w:pPr>
        <w:tabs>
          <w:tab w:val="center" w:pos="4366"/>
        </w:tabs>
        <w:ind w:left="720"/>
        <w:jc w:val="both"/>
        <w:rPr>
          <w:rFonts w:cs="Calibri Light"/>
        </w:rPr>
      </w:pPr>
      <w:r>
        <w:rPr>
          <w:rFonts w:cs="Calibri Light"/>
          <w:b/>
          <w:bCs/>
        </w:rPr>
        <w:t>Subject</w:t>
      </w:r>
      <w:r w:rsidRPr="004A13E8">
        <w:rPr>
          <w:rFonts w:cs="Calibri Light"/>
        </w:rPr>
        <w:t xml:space="preserve">: </w:t>
      </w:r>
      <w:r>
        <w:rPr>
          <w:rFonts w:cs="Calibri Light"/>
        </w:rPr>
        <w:t>Additional information EIT Community Officer Bulgaria</w:t>
      </w:r>
    </w:p>
    <w:p w14:paraId="508B2798" w14:textId="77777777" w:rsidR="00F715E3" w:rsidRPr="004A13E8" w:rsidRDefault="00F715E3" w:rsidP="00F715E3">
      <w:pPr>
        <w:tabs>
          <w:tab w:val="center" w:pos="4366"/>
        </w:tabs>
        <w:spacing w:after="0"/>
        <w:ind w:left="720"/>
        <w:jc w:val="both"/>
        <w:rPr>
          <w:rFonts w:eastAsia="Calibri" w:cs="Calibri Light"/>
          <w:color w:val="0563C1"/>
          <w:szCs w:val="20"/>
          <w:u w:val="single"/>
          <w:lang w:eastAsia="sv-SE"/>
        </w:rPr>
      </w:pPr>
      <w:r w:rsidRPr="004A13E8">
        <w:rPr>
          <w:rFonts w:eastAsia="Calibri" w:cs="Calibri Light"/>
          <w:b/>
          <w:color w:val="000000"/>
          <w:szCs w:val="20"/>
          <w:lang w:eastAsia="sv-SE"/>
        </w:rPr>
        <w:t>E-mail</w:t>
      </w:r>
      <w:r w:rsidRPr="004A13E8">
        <w:rPr>
          <w:rFonts w:eastAsia="Calibri" w:cs="Calibri Light"/>
          <w:color w:val="000000"/>
          <w:szCs w:val="20"/>
          <w:lang w:eastAsia="sv-SE"/>
        </w:rPr>
        <w:t xml:space="preserve">: </w:t>
      </w:r>
      <w:hyperlink r:id="rId22" w:history="1">
        <w:r w:rsidRPr="004A13E8">
          <w:rPr>
            <w:rFonts w:eastAsia="Calibri" w:cs="Calibri Light"/>
            <w:color w:val="0563C1"/>
            <w:szCs w:val="20"/>
            <w:u w:val="single"/>
            <w:lang w:eastAsia="sv-SE"/>
          </w:rPr>
          <w:t>procurement@eiturbanmobility.eu</w:t>
        </w:r>
      </w:hyperlink>
    </w:p>
    <w:p w14:paraId="057AE34A" w14:textId="77777777" w:rsidR="00F715E3" w:rsidRDefault="00F715E3" w:rsidP="00F715E3">
      <w:pPr>
        <w:tabs>
          <w:tab w:val="center" w:pos="4366"/>
        </w:tabs>
        <w:spacing w:after="0"/>
        <w:ind w:left="720"/>
        <w:jc w:val="both"/>
        <w:rPr>
          <w:rFonts w:eastAsia="Calibri" w:cs="Calibri Light"/>
          <w:color w:val="000000"/>
          <w:szCs w:val="20"/>
          <w:lang w:eastAsia="sv-SE"/>
        </w:rPr>
      </w:pPr>
    </w:p>
    <w:p w14:paraId="5F22B564" w14:textId="25D0F2EB" w:rsidR="00F715E3" w:rsidRPr="00F715E3" w:rsidRDefault="66D1D50F" w:rsidP="023F6FEC">
      <w:pPr>
        <w:tabs>
          <w:tab w:val="center" w:pos="4366"/>
        </w:tabs>
        <w:spacing w:after="0"/>
        <w:ind w:left="720"/>
        <w:jc w:val="both"/>
        <w:rPr>
          <w:rFonts w:cs="Calibri Light"/>
          <w:lang w:eastAsia="sv-SE"/>
        </w:rPr>
      </w:pPr>
      <w:r w:rsidRPr="426DE8F5">
        <w:rPr>
          <w:rFonts w:eastAsia="Calibri" w:cs="Calibri Light"/>
          <w:b/>
          <w:bCs/>
          <w:color w:val="000000"/>
          <w:lang w:eastAsia="sv-SE"/>
        </w:rPr>
        <w:t xml:space="preserve">Contact </w:t>
      </w:r>
      <w:r w:rsidRPr="00154EB7">
        <w:rPr>
          <w:rFonts w:eastAsia="Calibri" w:cs="Calibri Light"/>
          <w:b/>
          <w:bCs/>
          <w:color w:val="000000"/>
          <w:lang w:eastAsia="sv-SE"/>
        </w:rPr>
        <w:t>name</w:t>
      </w:r>
      <w:r w:rsidRPr="00154EB7">
        <w:rPr>
          <w:rFonts w:eastAsia="Calibri" w:cs="Calibri Light"/>
          <w:color w:val="000000"/>
          <w:lang w:eastAsia="sv-SE"/>
        </w:rPr>
        <w:t xml:space="preserve">: </w:t>
      </w:r>
      <w:r w:rsidRPr="00154EB7">
        <w:rPr>
          <w:rFonts w:cs="Calibri Light"/>
        </w:rPr>
        <w:t>Mr. Lluis Puerto (RIS Director)</w:t>
      </w:r>
      <w:r w:rsidR="34270624" w:rsidRPr="00154EB7">
        <w:rPr>
          <w:rFonts w:cs="Calibri Light"/>
        </w:rPr>
        <w:t xml:space="preserve"> and Mr. Josep Marí (RIS Officer</w:t>
      </w:r>
      <w:r w:rsidR="3987F749" w:rsidRPr="00154EB7">
        <w:rPr>
          <w:rFonts w:cs="Calibri Light"/>
        </w:rPr>
        <w:t>) at EIT URBAN MOBILITY.</w:t>
      </w:r>
    </w:p>
    <w:p w14:paraId="5436359A" w14:textId="37218F87" w:rsidR="003E3E53" w:rsidRPr="004A13E8" w:rsidRDefault="003E3E53" w:rsidP="003E3E53">
      <w:pPr>
        <w:pStyle w:val="BodyText"/>
        <w:spacing w:before="120"/>
        <w:ind w:left="-360" w:firstLine="360"/>
        <w:jc w:val="both"/>
        <w:rPr>
          <w:rFonts w:cs="Calibri Light"/>
        </w:rPr>
      </w:pPr>
      <w:r w:rsidRPr="004A13E8">
        <w:rPr>
          <w:rFonts w:eastAsia="Calibri" w:cs="Calibri Light"/>
          <w:color w:val="000000"/>
          <w:szCs w:val="20"/>
          <w:lang w:eastAsia="sv-SE"/>
        </w:rPr>
        <w:t>EIT Urban Mobility</w:t>
      </w:r>
      <w:r w:rsidRPr="004A13E8">
        <w:rPr>
          <w:rFonts w:cs="Calibri Light"/>
        </w:rPr>
        <w:t xml:space="preserve"> has no obligation to provide clarification if decides.</w:t>
      </w:r>
    </w:p>
    <w:p w14:paraId="7854A455" w14:textId="087793AE" w:rsidR="003E3E53" w:rsidRPr="00556B48" w:rsidRDefault="3CD0465D" w:rsidP="003E3E53">
      <w:pPr>
        <w:pStyle w:val="Heading2"/>
        <w:ind w:left="0" w:right="1282"/>
        <w:jc w:val="both"/>
        <w:rPr>
          <w:rFonts w:eastAsia="Times New Roman" w:cs="Calibri Light"/>
          <w:b w:val="0"/>
          <w:bCs w:val="0"/>
          <w:lang w:eastAsia="sv-SE"/>
        </w:rPr>
      </w:pPr>
      <w:bookmarkStart w:id="32" w:name="_Toc489484840"/>
      <w:bookmarkStart w:id="33" w:name="_Toc206684762"/>
      <w:r w:rsidRPr="7295751F">
        <w:rPr>
          <w:rFonts w:eastAsia="Times New Roman" w:cs="Calibri Light"/>
          <w:b w:val="0"/>
          <w:bCs w:val="0"/>
          <w:lang w:eastAsia="sv-SE"/>
        </w:rPr>
        <w:t>3.</w:t>
      </w:r>
      <w:r w:rsidR="0906FEF5" w:rsidRPr="7295751F">
        <w:rPr>
          <w:rFonts w:eastAsia="Times New Roman" w:cs="Calibri Light"/>
          <w:b w:val="0"/>
          <w:bCs w:val="0"/>
          <w:lang w:eastAsia="sv-SE"/>
        </w:rPr>
        <w:t>6</w:t>
      </w:r>
      <w:r w:rsidRPr="7295751F">
        <w:rPr>
          <w:rFonts w:eastAsia="Times New Roman" w:cs="Calibri Light"/>
          <w:b w:val="0"/>
          <w:bCs w:val="0"/>
          <w:lang w:eastAsia="sv-SE"/>
        </w:rPr>
        <w:t>. Cost for preparing proposals</w:t>
      </w:r>
      <w:bookmarkEnd w:id="32"/>
      <w:bookmarkEnd w:id="33"/>
    </w:p>
    <w:p w14:paraId="72B004E1" w14:textId="77777777" w:rsidR="003E3E53" w:rsidRPr="004A13E8" w:rsidRDefault="003E3E53" w:rsidP="003E3E53">
      <w:pPr>
        <w:spacing w:before="120" w:after="120"/>
        <w:jc w:val="both"/>
        <w:rPr>
          <w:rFonts w:cs="Calibri Light"/>
          <w:szCs w:val="20"/>
        </w:rPr>
      </w:pPr>
      <w:r w:rsidRPr="004A13E8">
        <w:rPr>
          <w:rFonts w:cs="Calibri Light"/>
          <w:szCs w:val="20"/>
        </w:rPr>
        <w:t>No costs incurred by the tenderers in preparing and submitting the proposal are reimbursable. All such costs must be borne by the tenderer.</w:t>
      </w:r>
    </w:p>
    <w:p w14:paraId="091A1441" w14:textId="564F307C" w:rsidR="003E3E53" w:rsidRPr="00556B48" w:rsidRDefault="3CD0465D" w:rsidP="003E3E53">
      <w:pPr>
        <w:pStyle w:val="Heading2"/>
        <w:ind w:left="0" w:right="1282"/>
        <w:jc w:val="both"/>
        <w:rPr>
          <w:rFonts w:eastAsia="Times New Roman" w:cs="Calibri Light"/>
          <w:b w:val="0"/>
          <w:bCs w:val="0"/>
          <w:lang w:eastAsia="sv-SE"/>
        </w:rPr>
      </w:pPr>
      <w:bookmarkStart w:id="34" w:name="_Toc823225070"/>
      <w:bookmarkStart w:id="35" w:name="_Toc206684763"/>
      <w:r w:rsidRPr="7295751F">
        <w:rPr>
          <w:rFonts w:eastAsia="Times New Roman" w:cs="Calibri Light"/>
          <w:b w:val="0"/>
          <w:bCs w:val="0"/>
          <w:lang w:eastAsia="sv-SE"/>
        </w:rPr>
        <w:t>3.</w:t>
      </w:r>
      <w:r w:rsidR="0906FEF5" w:rsidRPr="7295751F">
        <w:rPr>
          <w:rFonts w:eastAsia="Times New Roman" w:cs="Calibri Light"/>
          <w:b w:val="0"/>
          <w:bCs w:val="0"/>
          <w:lang w:eastAsia="sv-SE"/>
        </w:rPr>
        <w:t>7</w:t>
      </w:r>
      <w:r w:rsidRPr="7295751F">
        <w:rPr>
          <w:rFonts w:eastAsia="Times New Roman" w:cs="Calibri Light"/>
          <w:b w:val="0"/>
          <w:bCs w:val="0"/>
          <w:lang w:eastAsia="sv-SE"/>
        </w:rPr>
        <w:t>. Ownership and confidentiality of proposals</w:t>
      </w:r>
      <w:bookmarkEnd w:id="34"/>
      <w:bookmarkEnd w:id="35"/>
    </w:p>
    <w:p w14:paraId="703DC6B9" w14:textId="77777777" w:rsidR="003E3E53" w:rsidRPr="004A13E8" w:rsidRDefault="003E3E53" w:rsidP="003E3E53">
      <w:pPr>
        <w:spacing w:before="120" w:after="120"/>
        <w:jc w:val="both"/>
        <w:rPr>
          <w:rFonts w:cs="Calibri Light"/>
          <w:szCs w:val="20"/>
        </w:rPr>
      </w:pPr>
      <w:r w:rsidRPr="004A13E8">
        <w:rPr>
          <w:rFonts w:cs="Calibri Light"/>
          <w:szCs w:val="20"/>
        </w:rPr>
        <w:t>EIT Urban Mobility retains ownership of all proposals received under this tendering procedure. Proprietary information identified as such, which is submitted by tenderer in connections with this procurement, will be kept confidential.</w:t>
      </w:r>
    </w:p>
    <w:p w14:paraId="0CFDADB5" w14:textId="77777777" w:rsidR="003E3E53" w:rsidRPr="004A13E8" w:rsidRDefault="003E3E53" w:rsidP="003E3E53">
      <w:pPr>
        <w:spacing w:before="120" w:after="120"/>
        <w:jc w:val="both"/>
        <w:rPr>
          <w:rFonts w:cs="Calibri Light"/>
          <w:szCs w:val="20"/>
        </w:rPr>
      </w:pPr>
      <w:r w:rsidRPr="004A13E8">
        <w:rPr>
          <w:rFonts w:cs="Calibri Light"/>
          <w:szCs w:val="20"/>
        </w:rPr>
        <w:t xml:space="preserve">The potential or actual supplier should accept that during the implementation of the contract and for four years after the completion of the contract, the CA has the right for the purposes of safeguarding its financial interests that the proposal and the contract of the supplier may be transferred to internal as well as external audit services. </w:t>
      </w:r>
    </w:p>
    <w:p w14:paraId="737DF56F" w14:textId="2C33E8FF" w:rsidR="003E3E53" w:rsidRPr="00556B48" w:rsidRDefault="3CD0465D" w:rsidP="003E3E53">
      <w:pPr>
        <w:pStyle w:val="Heading2"/>
        <w:ind w:left="0" w:right="1282"/>
        <w:jc w:val="both"/>
        <w:rPr>
          <w:rFonts w:eastAsia="Times New Roman" w:cs="Calibri Light"/>
          <w:b w:val="0"/>
          <w:bCs w:val="0"/>
          <w:lang w:eastAsia="sv-SE"/>
        </w:rPr>
      </w:pPr>
      <w:bookmarkStart w:id="36" w:name="_Toc1969398384"/>
      <w:bookmarkStart w:id="37" w:name="_Toc206684764"/>
      <w:r w:rsidRPr="7295751F">
        <w:rPr>
          <w:rFonts w:eastAsia="Times New Roman" w:cs="Calibri Light"/>
          <w:b w:val="0"/>
          <w:bCs w:val="0"/>
          <w:lang w:eastAsia="sv-SE"/>
        </w:rPr>
        <w:t>3.</w:t>
      </w:r>
      <w:r w:rsidR="0906FEF5" w:rsidRPr="7295751F">
        <w:rPr>
          <w:rFonts w:eastAsia="Times New Roman" w:cs="Calibri Light"/>
          <w:b w:val="0"/>
          <w:bCs w:val="0"/>
          <w:lang w:eastAsia="sv-SE"/>
        </w:rPr>
        <w:t>8</w:t>
      </w:r>
      <w:r w:rsidRPr="7295751F">
        <w:rPr>
          <w:rFonts w:eastAsia="Times New Roman" w:cs="Calibri Light"/>
          <w:b w:val="0"/>
          <w:bCs w:val="0"/>
          <w:lang w:eastAsia="sv-SE"/>
        </w:rPr>
        <w:t>. Clarification related proposals</w:t>
      </w:r>
      <w:bookmarkEnd w:id="36"/>
      <w:bookmarkEnd w:id="37"/>
    </w:p>
    <w:p w14:paraId="08F4818F" w14:textId="77777777" w:rsidR="003E3E53" w:rsidRPr="004A13E8" w:rsidRDefault="003E3E53" w:rsidP="003E3E53">
      <w:pPr>
        <w:spacing w:before="120" w:after="120"/>
        <w:jc w:val="both"/>
        <w:rPr>
          <w:rFonts w:cs="Calibri Light"/>
          <w:szCs w:val="20"/>
        </w:rPr>
      </w:pPr>
      <w:r w:rsidRPr="004A13E8">
        <w:rPr>
          <w:rFonts w:cs="Calibri Light"/>
          <w:szCs w:val="20"/>
        </w:rPr>
        <w:t>After submission of the proposal, it shall be checked if it satisfies all the formal requirements set out in the proposal dossier. Where information or documentation submitted by the tenderer is or appears to be incomplete or erroneous or where specific documents are missing, the CA may request the tenderer concerned to submit, supplement, clarify or complete the relevant information or documentation within an appropriate time limit.</w:t>
      </w:r>
    </w:p>
    <w:p w14:paraId="51806063" w14:textId="52EDF4CB" w:rsidR="004F5142" w:rsidRPr="004A13E8" w:rsidRDefault="3CD0465D" w:rsidP="005043A1">
      <w:pPr>
        <w:pStyle w:val="EITUMHeading1"/>
        <w:pageBreakBefore/>
        <w:ind w:left="714" w:hanging="357"/>
      </w:pPr>
      <w:bookmarkStart w:id="38" w:name="_Toc1591869038"/>
      <w:bookmarkStart w:id="39" w:name="_Toc206684765"/>
      <w:r>
        <w:lastRenderedPageBreak/>
        <w:t>Evaluation of proposals</w:t>
      </w:r>
      <w:bookmarkEnd w:id="38"/>
      <w:bookmarkEnd w:id="39"/>
    </w:p>
    <w:p w14:paraId="0DD4FE32" w14:textId="473F8098" w:rsidR="003E3E53" w:rsidRPr="00933DD0" w:rsidRDefault="3CD0465D" w:rsidP="003E3E53">
      <w:pPr>
        <w:pStyle w:val="Heading2"/>
        <w:ind w:left="0" w:right="1282"/>
        <w:jc w:val="both"/>
        <w:rPr>
          <w:rFonts w:eastAsia="Times New Roman" w:cs="Calibri Light"/>
          <w:b w:val="0"/>
          <w:bCs w:val="0"/>
          <w:lang w:eastAsia="sv-SE"/>
        </w:rPr>
      </w:pPr>
      <w:bookmarkStart w:id="40" w:name="_Toc759442568"/>
      <w:bookmarkStart w:id="41" w:name="_Toc206684766"/>
      <w:bookmarkStart w:id="42" w:name="_Hlk116502210"/>
      <w:r w:rsidRPr="7295751F">
        <w:rPr>
          <w:rFonts w:eastAsia="Times New Roman" w:cs="Calibri Light"/>
          <w:b w:val="0"/>
          <w:bCs w:val="0"/>
          <w:lang w:eastAsia="sv-SE"/>
        </w:rPr>
        <w:t>4.1. Exclusion criteria</w:t>
      </w:r>
      <w:bookmarkEnd w:id="40"/>
      <w:bookmarkEnd w:id="41"/>
    </w:p>
    <w:bookmarkEnd w:id="42"/>
    <w:p w14:paraId="512682E4" w14:textId="77777777" w:rsidR="003E3E53" w:rsidRPr="004A13E8" w:rsidRDefault="003E3E53" w:rsidP="003E3E53">
      <w:pPr>
        <w:spacing w:after="120" w:line="276" w:lineRule="auto"/>
        <w:jc w:val="both"/>
        <w:rPr>
          <w:rFonts w:eastAsia="Calibri" w:cs="Calibri Light"/>
          <w:b/>
          <w:bCs/>
          <w:color w:val="000000"/>
          <w:szCs w:val="20"/>
        </w:rPr>
      </w:pPr>
      <w:r w:rsidRPr="004A13E8">
        <w:rPr>
          <w:rFonts w:eastAsia="Calibri" w:cs="Calibri Light"/>
          <w:b/>
          <w:bCs/>
          <w:color w:val="000000"/>
          <w:szCs w:val="20"/>
        </w:rPr>
        <w:t>The Tenderers will be excluded from participation in the current procedure, if:</w:t>
      </w:r>
    </w:p>
    <w:p w14:paraId="4D784D21" w14:textId="77777777" w:rsidR="003E3E53" w:rsidRPr="004A13E8" w:rsidRDefault="003E3E53" w:rsidP="00D90AD3">
      <w:pPr>
        <w:pStyle w:val="ListParagraph"/>
        <w:numPr>
          <w:ilvl w:val="0"/>
          <w:numId w:val="15"/>
        </w:numPr>
        <w:tabs>
          <w:tab w:val="left" w:pos="426"/>
        </w:tabs>
        <w:spacing w:after="0" w:line="276" w:lineRule="auto"/>
        <w:ind w:left="851" w:hanging="567"/>
        <w:jc w:val="both"/>
        <w:rPr>
          <w:rFonts w:eastAsia="Calibri" w:cs="Calibri Light"/>
          <w:szCs w:val="20"/>
        </w:rPr>
      </w:pPr>
      <w:r w:rsidRPr="004A13E8">
        <w:rPr>
          <w:rFonts w:eastAsia="Calibri" w:cs="Calibri Light"/>
          <w:szCs w:val="20"/>
        </w:rPr>
        <w:t>it is bankrupt, subject to insolvency or winding-up procedures, where its assets are being administered by a liquidator or by a court, where it is in an arrangement with creditors, where its business activities are suspended, or where it is in any analogous situation arising from a similar procedure provided for under national laws or regulations;</w:t>
      </w:r>
    </w:p>
    <w:p w14:paraId="1B33BED6" w14:textId="77777777" w:rsidR="003E3E53" w:rsidRPr="004A13E8" w:rsidRDefault="003E3E53" w:rsidP="003E3E53">
      <w:pPr>
        <w:pStyle w:val="ListParagraph"/>
        <w:tabs>
          <w:tab w:val="left" w:pos="426"/>
        </w:tabs>
        <w:spacing w:after="0" w:line="276" w:lineRule="auto"/>
        <w:ind w:left="851"/>
        <w:jc w:val="both"/>
        <w:rPr>
          <w:rFonts w:eastAsia="Calibri" w:cs="Calibri Light"/>
          <w:szCs w:val="20"/>
        </w:rPr>
      </w:pPr>
    </w:p>
    <w:p w14:paraId="2B2CD509" w14:textId="77777777" w:rsidR="003E3E53" w:rsidRPr="004A13E8" w:rsidRDefault="003E3E53" w:rsidP="00D90AD3">
      <w:pPr>
        <w:pStyle w:val="ListParagraph"/>
        <w:numPr>
          <w:ilvl w:val="0"/>
          <w:numId w:val="15"/>
        </w:numPr>
        <w:tabs>
          <w:tab w:val="left" w:pos="426"/>
        </w:tabs>
        <w:spacing w:after="0" w:line="276" w:lineRule="auto"/>
        <w:ind w:left="851" w:hanging="567"/>
        <w:jc w:val="both"/>
        <w:rPr>
          <w:rFonts w:eastAsia="Calibri" w:cs="Calibri Light"/>
          <w:szCs w:val="20"/>
        </w:rPr>
      </w:pPr>
      <w:r w:rsidRPr="004A13E8">
        <w:rPr>
          <w:rFonts w:eastAsia="Calibri" w:cs="Calibri Light"/>
          <w:szCs w:val="20"/>
        </w:rPr>
        <w:t>it has been established by a final judgment or a final administrative decision that the Tenderer is in breach of its obligations relating to the payment of taxes or social security contributions in accordance with the applicable law;</w:t>
      </w:r>
    </w:p>
    <w:p w14:paraId="71F58412" w14:textId="77777777" w:rsidR="003E3E53" w:rsidRPr="004A13E8" w:rsidRDefault="003E3E53" w:rsidP="003E3E53">
      <w:pPr>
        <w:pStyle w:val="ListParagraph"/>
        <w:tabs>
          <w:tab w:val="left" w:pos="426"/>
        </w:tabs>
        <w:spacing w:after="0" w:line="276" w:lineRule="auto"/>
        <w:ind w:left="851"/>
        <w:jc w:val="both"/>
        <w:rPr>
          <w:rFonts w:eastAsia="Calibri" w:cs="Calibri Light"/>
          <w:szCs w:val="20"/>
        </w:rPr>
      </w:pPr>
    </w:p>
    <w:p w14:paraId="72D8A384" w14:textId="77777777" w:rsidR="003E3E53" w:rsidRPr="004A13E8" w:rsidRDefault="003E3E53" w:rsidP="00D90AD3">
      <w:pPr>
        <w:pStyle w:val="ListParagraph"/>
        <w:numPr>
          <w:ilvl w:val="0"/>
          <w:numId w:val="15"/>
        </w:numPr>
        <w:tabs>
          <w:tab w:val="left" w:pos="426"/>
        </w:tabs>
        <w:spacing w:after="0" w:line="276" w:lineRule="auto"/>
        <w:ind w:left="851" w:hanging="567"/>
        <w:jc w:val="both"/>
        <w:rPr>
          <w:rFonts w:eastAsia="Calibri" w:cs="Calibri Light"/>
          <w:szCs w:val="20"/>
        </w:rPr>
      </w:pPr>
      <w:r w:rsidRPr="004A13E8">
        <w:rPr>
          <w:rFonts w:eastAsia="Calibri" w:cs="Calibri Light"/>
          <w:szCs w:val="20"/>
        </w:rPr>
        <w:t>it has been established by a final judgment or a final administrative decision that the Tenderer is guilty of grave professional misconduct by having violated applicable laws or regulations or ethical standards of the profession to which the Tenderer belongs, or by having engaged in any wrongful conduct which has an impact on its professional credibility where such conduct denotes a wrongful intent or gross negligence, including, in particular, any of the following:</w:t>
      </w:r>
    </w:p>
    <w:p w14:paraId="7C05FE41" w14:textId="77777777" w:rsidR="003E3E53" w:rsidRPr="004A13E8" w:rsidRDefault="003E3E53" w:rsidP="00D90AD3">
      <w:pPr>
        <w:pStyle w:val="ListParagraph"/>
        <w:numPr>
          <w:ilvl w:val="0"/>
          <w:numId w:val="16"/>
        </w:numPr>
        <w:spacing w:after="0" w:line="276" w:lineRule="auto"/>
        <w:ind w:left="1843"/>
        <w:jc w:val="both"/>
        <w:rPr>
          <w:rFonts w:eastAsia="Calibri" w:cs="Calibri Light"/>
          <w:szCs w:val="20"/>
        </w:rPr>
      </w:pPr>
      <w:r w:rsidRPr="004A13E8">
        <w:rPr>
          <w:rFonts w:eastAsia="Calibri" w:cs="Calibri Light"/>
          <w:szCs w:val="20"/>
        </w:rPr>
        <w:t>fraudulently or negligently misrepresenting information required for the verification of the absence of grounds for exclusion or the fulfilment of selection criteria or in the performance of a contract;</w:t>
      </w:r>
    </w:p>
    <w:p w14:paraId="0CF7F4D5" w14:textId="77777777" w:rsidR="003E3E53" w:rsidRPr="004A13E8" w:rsidRDefault="003E3E53" w:rsidP="00D90AD3">
      <w:pPr>
        <w:pStyle w:val="ListParagraph"/>
        <w:numPr>
          <w:ilvl w:val="0"/>
          <w:numId w:val="16"/>
        </w:numPr>
        <w:spacing w:after="0" w:line="276" w:lineRule="auto"/>
        <w:ind w:left="1843"/>
        <w:jc w:val="both"/>
        <w:rPr>
          <w:rFonts w:eastAsia="Calibri" w:cs="Calibri Light"/>
          <w:szCs w:val="20"/>
        </w:rPr>
      </w:pPr>
      <w:r w:rsidRPr="004A13E8">
        <w:rPr>
          <w:rFonts w:eastAsia="Calibri" w:cs="Calibri Light"/>
          <w:szCs w:val="20"/>
        </w:rPr>
        <w:t>entering into agreement with other Tenderers with the aim of distorting competition;</w:t>
      </w:r>
    </w:p>
    <w:p w14:paraId="1F78548A" w14:textId="77777777" w:rsidR="003E3E53" w:rsidRPr="004A13E8" w:rsidRDefault="003E3E53" w:rsidP="00D90AD3">
      <w:pPr>
        <w:pStyle w:val="ListParagraph"/>
        <w:numPr>
          <w:ilvl w:val="0"/>
          <w:numId w:val="16"/>
        </w:numPr>
        <w:spacing w:after="0" w:line="276" w:lineRule="auto"/>
        <w:ind w:left="1843"/>
        <w:jc w:val="both"/>
        <w:rPr>
          <w:rFonts w:eastAsia="Calibri" w:cs="Calibri Light"/>
          <w:szCs w:val="20"/>
        </w:rPr>
      </w:pPr>
      <w:r w:rsidRPr="004A13E8">
        <w:rPr>
          <w:rFonts w:eastAsia="Calibri" w:cs="Calibri Light"/>
          <w:szCs w:val="20"/>
        </w:rPr>
        <w:t>violating intellectual property rights;</w:t>
      </w:r>
    </w:p>
    <w:p w14:paraId="664FFEB5" w14:textId="77777777" w:rsidR="003E3E53" w:rsidRPr="004A13E8" w:rsidRDefault="003E3E53" w:rsidP="00D90AD3">
      <w:pPr>
        <w:pStyle w:val="ListParagraph"/>
        <w:numPr>
          <w:ilvl w:val="0"/>
          <w:numId w:val="16"/>
        </w:numPr>
        <w:spacing w:after="0" w:line="276" w:lineRule="auto"/>
        <w:ind w:left="1843"/>
        <w:jc w:val="both"/>
        <w:rPr>
          <w:rFonts w:eastAsia="Calibri" w:cs="Calibri Light"/>
          <w:szCs w:val="20"/>
        </w:rPr>
      </w:pPr>
      <w:r w:rsidRPr="004A13E8">
        <w:rPr>
          <w:rFonts w:eastAsia="Calibri" w:cs="Calibri Light"/>
          <w:szCs w:val="20"/>
        </w:rPr>
        <w:t>attempting to influence the decision-making process of the contracting authority during the procurement procedure;</w:t>
      </w:r>
    </w:p>
    <w:p w14:paraId="25EB5805" w14:textId="05401D5A" w:rsidR="003E3E53" w:rsidRPr="004A13E8" w:rsidRDefault="003E3E53" w:rsidP="00D90AD3">
      <w:pPr>
        <w:pStyle w:val="ListParagraph"/>
        <w:numPr>
          <w:ilvl w:val="0"/>
          <w:numId w:val="16"/>
        </w:numPr>
        <w:spacing w:after="0" w:line="276" w:lineRule="auto"/>
        <w:ind w:left="1843"/>
        <w:jc w:val="both"/>
        <w:rPr>
          <w:rFonts w:eastAsia="Calibri" w:cs="Calibri Light"/>
          <w:szCs w:val="20"/>
        </w:rPr>
      </w:pPr>
      <w:r w:rsidRPr="004A13E8">
        <w:rPr>
          <w:rFonts w:eastAsia="Calibri" w:cs="Calibri Light"/>
          <w:szCs w:val="20"/>
        </w:rPr>
        <w:t xml:space="preserve">attempting to obtain confidential information that may confer upon </w:t>
      </w:r>
      <w:r w:rsidR="00877AD1" w:rsidRPr="004A13E8">
        <w:rPr>
          <w:rFonts w:eastAsia="Calibri" w:cs="Calibri Light"/>
          <w:szCs w:val="20"/>
        </w:rPr>
        <w:t>its</w:t>
      </w:r>
      <w:r w:rsidRPr="004A13E8">
        <w:rPr>
          <w:rFonts w:eastAsia="Calibri" w:cs="Calibri Light"/>
          <w:szCs w:val="20"/>
        </w:rPr>
        <w:t xml:space="preserve"> undue advantages in the procurement procedure;</w:t>
      </w:r>
    </w:p>
    <w:p w14:paraId="509C91BB" w14:textId="77777777" w:rsidR="003E3E53" w:rsidRPr="004A13E8" w:rsidRDefault="003E3E53" w:rsidP="003E3E53">
      <w:pPr>
        <w:pStyle w:val="ListParagraph"/>
        <w:spacing w:after="0" w:line="276" w:lineRule="auto"/>
        <w:ind w:left="1843"/>
        <w:jc w:val="both"/>
        <w:rPr>
          <w:rFonts w:eastAsia="Calibri" w:cs="Calibri Light"/>
          <w:szCs w:val="20"/>
        </w:rPr>
      </w:pPr>
    </w:p>
    <w:p w14:paraId="218F8B93" w14:textId="6C042A56" w:rsidR="003E3E53" w:rsidRPr="004A13E8" w:rsidRDefault="003E3E53" w:rsidP="00D90AD3">
      <w:pPr>
        <w:pStyle w:val="ListParagraph"/>
        <w:numPr>
          <w:ilvl w:val="0"/>
          <w:numId w:val="15"/>
        </w:numPr>
        <w:tabs>
          <w:tab w:val="left" w:pos="426"/>
        </w:tabs>
        <w:spacing w:after="0" w:line="276" w:lineRule="auto"/>
        <w:ind w:left="851" w:hanging="567"/>
        <w:jc w:val="both"/>
        <w:rPr>
          <w:rFonts w:eastAsia="Calibri" w:cs="Calibri Light"/>
        </w:rPr>
      </w:pPr>
      <w:r w:rsidRPr="03E69CEB">
        <w:rPr>
          <w:rFonts w:eastAsia="Calibri" w:cs="Calibri Light"/>
        </w:rPr>
        <w:t xml:space="preserve">it has been established by a final judgment that the Tenderer is guilty of fraud, </w:t>
      </w:r>
      <w:r w:rsidR="00877AD1" w:rsidRPr="03E69CEB">
        <w:rPr>
          <w:rFonts w:eastAsia="Calibri" w:cs="Calibri Light"/>
        </w:rPr>
        <w:t>corruption,</w:t>
      </w:r>
      <w:r w:rsidRPr="03E69CEB">
        <w:rPr>
          <w:rFonts w:eastAsia="Calibri" w:cs="Calibri Light"/>
        </w:rPr>
        <w:t xml:space="preserve"> or money laundering.</w:t>
      </w:r>
    </w:p>
    <w:p w14:paraId="71C1C26C" w14:textId="04D4ADAD" w:rsidR="005408D9" w:rsidRPr="009126B4" w:rsidRDefault="3CD0465D" w:rsidP="009126B4">
      <w:pPr>
        <w:pStyle w:val="Heading2"/>
        <w:ind w:left="0" w:right="1282"/>
        <w:jc w:val="both"/>
        <w:rPr>
          <w:rFonts w:eastAsia="Times New Roman" w:cs="Calibri Light"/>
          <w:b w:val="0"/>
          <w:bCs w:val="0"/>
          <w:lang w:eastAsia="sv-SE"/>
        </w:rPr>
      </w:pPr>
      <w:bookmarkStart w:id="43" w:name="_Toc698674860"/>
      <w:bookmarkStart w:id="44" w:name="_Toc206684767"/>
      <w:r w:rsidRPr="7295751F">
        <w:rPr>
          <w:rFonts w:eastAsia="Times New Roman" w:cs="Calibri Light"/>
          <w:b w:val="0"/>
          <w:bCs w:val="0"/>
          <w:lang w:eastAsia="sv-SE"/>
        </w:rPr>
        <w:t>4.2. Award criteria</w:t>
      </w:r>
      <w:bookmarkEnd w:id="43"/>
      <w:bookmarkEnd w:id="44"/>
    </w:p>
    <w:p w14:paraId="193D65BD" w14:textId="48828E1E" w:rsidR="003E3E53" w:rsidRPr="004A13E8" w:rsidRDefault="2924DF15" w:rsidP="63DC4369">
      <w:pPr>
        <w:pStyle w:val="ListParagraph"/>
        <w:spacing w:before="120" w:after="120" w:line="256" w:lineRule="auto"/>
        <w:ind w:left="0" w:right="-2"/>
        <w:jc w:val="both"/>
        <w:rPr>
          <w:rFonts w:eastAsia="Calibri" w:cs="Calibri Light"/>
          <w:color w:val="000000"/>
        </w:rPr>
      </w:pPr>
      <w:r w:rsidRPr="63DC4369">
        <w:rPr>
          <w:rFonts w:eastAsia="Calibri" w:cs="Calibri Light"/>
          <w:color w:val="000000"/>
        </w:rPr>
        <w:t>EIT U</w:t>
      </w:r>
      <w:r w:rsidR="4BE9D13E" w:rsidRPr="63DC4369">
        <w:rPr>
          <w:rFonts w:eastAsia="Calibri" w:cs="Calibri Light"/>
          <w:color w:val="000000"/>
        </w:rPr>
        <w:t xml:space="preserve">rban </w:t>
      </w:r>
      <w:r w:rsidRPr="63DC4369">
        <w:rPr>
          <w:rFonts w:eastAsia="Calibri" w:cs="Calibri Light"/>
          <w:color w:val="000000"/>
        </w:rPr>
        <w:t>M</w:t>
      </w:r>
      <w:r w:rsidR="4BE9D13E" w:rsidRPr="63DC4369">
        <w:rPr>
          <w:rFonts w:eastAsia="Calibri" w:cs="Calibri Light"/>
          <w:color w:val="000000"/>
        </w:rPr>
        <w:t>obility</w:t>
      </w:r>
      <w:r w:rsidRPr="63DC4369">
        <w:rPr>
          <w:rFonts w:eastAsia="Calibri" w:cs="Calibri Light"/>
          <w:color w:val="000000"/>
        </w:rPr>
        <w:t xml:space="preserve"> will award</w:t>
      </w:r>
      <w:r w:rsidR="6BFC45CC" w:rsidRPr="63DC4369">
        <w:rPr>
          <w:rFonts w:eastAsia="Calibri" w:cs="Calibri Light"/>
          <w:color w:val="000000"/>
        </w:rPr>
        <w:t xml:space="preserve"> </w:t>
      </w:r>
      <w:r w:rsidR="0652B791" w:rsidRPr="63DC4369">
        <w:rPr>
          <w:rFonts w:eastAsia="Calibri" w:cs="Calibri Light"/>
          <w:color w:val="000000"/>
        </w:rPr>
        <w:t xml:space="preserve">a </w:t>
      </w:r>
      <w:r w:rsidR="2C667352" w:rsidRPr="63DC4369">
        <w:rPr>
          <w:rFonts w:eastAsia="Calibri" w:cs="Calibri Light"/>
          <w:color w:val="000000"/>
        </w:rPr>
        <w:t>contract</w:t>
      </w:r>
      <w:r w:rsidRPr="63DC4369">
        <w:rPr>
          <w:rFonts w:eastAsia="Calibri" w:cs="Calibri Light"/>
          <w:color w:val="000000"/>
        </w:rPr>
        <w:t xml:space="preserve"> to the tenderer who submit</w:t>
      </w:r>
      <w:r w:rsidR="7B051753" w:rsidRPr="63DC4369">
        <w:rPr>
          <w:rFonts w:eastAsia="Calibri" w:cs="Calibri Light"/>
          <w:color w:val="000000"/>
        </w:rPr>
        <w:t>s</w:t>
      </w:r>
      <w:r w:rsidRPr="63DC4369">
        <w:rPr>
          <w:rFonts w:eastAsia="Calibri" w:cs="Calibri Light"/>
          <w:color w:val="000000"/>
        </w:rPr>
        <w:t xml:space="preserve"> the most advantageous technical and financial proposal based on best value for money based on the following criteria (including the weighting assigned to them). The quality of each proposal will be evaluated in accordance with the below mentioned award criteria. </w:t>
      </w:r>
    </w:p>
    <w:p w14:paraId="6374B64F" w14:textId="77777777" w:rsidR="003E3E53" w:rsidRPr="004A13E8" w:rsidRDefault="003E3E53" w:rsidP="003E3E53">
      <w:pPr>
        <w:pStyle w:val="ListParagraph"/>
        <w:spacing w:before="120" w:after="120" w:line="256" w:lineRule="auto"/>
        <w:ind w:left="0" w:right="-2"/>
        <w:jc w:val="both"/>
        <w:rPr>
          <w:rFonts w:eastAsia="Calibri" w:cs="Calibri Light"/>
          <w:color w:val="000000"/>
          <w:szCs w:val="20"/>
        </w:rPr>
      </w:pPr>
    </w:p>
    <w:p w14:paraId="2CC3A18F" w14:textId="61D8A6B9" w:rsidR="003E3E53" w:rsidRPr="004A13E8" w:rsidRDefault="003E3E53" w:rsidP="001C789C">
      <w:pPr>
        <w:pStyle w:val="ListParagraph"/>
        <w:spacing w:before="120" w:after="120" w:line="256" w:lineRule="auto"/>
        <w:ind w:left="0" w:right="-2"/>
        <w:jc w:val="both"/>
        <w:rPr>
          <w:rFonts w:eastAsia="Calibri" w:cs="Calibri Light"/>
          <w:color w:val="000000"/>
          <w:szCs w:val="20"/>
        </w:rPr>
      </w:pPr>
      <w:r w:rsidRPr="004A13E8">
        <w:rPr>
          <w:rFonts w:eastAsia="Calibri" w:cs="Calibri Light"/>
          <w:color w:val="000000"/>
          <w:szCs w:val="20"/>
        </w:rPr>
        <w:t>The award criteria will be examined in accordance with the requested service indicated in Section 2 of the document and ensure best value for money by applying the below equation</w:t>
      </w:r>
      <w:r w:rsidR="005F37D5" w:rsidRPr="004A13E8">
        <w:rPr>
          <w:rFonts w:eastAsia="Calibri" w:cs="Calibri Light"/>
          <w:color w:val="000000"/>
          <w:szCs w:val="20"/>
        </w:rPr>
        <w:t xml:space="preserve">. </w:t>
      </w:r>
      <w:r w:rsidRPr="004A13E8">
        <w:rPr>
          <w:rFonts w:eastAsia="Calibri" w:cs="Calibri Light"/>
          <w:color w:val="000000"/>
          <w:szCs w:val="20"/>
        </w:rPr>
        <w:t xml:space="preserve">The technical score is calculated based on the </w:t>
      </w:r>
      <w:r w:rsidR="009126B4">
        <w:rPr>
          <w:rFonts w:eastAsia="Calibri" w:cs="Calibri Light"/>
          <w:color w:val="000000"/>
          <w:szCs w:val="20"/>
        </w:rPr>
        <w:t xml:space="preserve">following </w:t>
      </w:r>
      <w:r w:rsidRPr="004A13E8">
        <w:rPr>
          <w:rFonts w:eastAsia="Calibri" w:cs="Calibri Light"/>
          <w:color w:val="000000"/>
          <w:szCs w:val="20"/>
        </w:rPr>
        <w:t>assessment rating:</w:t>
      </w:r>
    </w:p>
    <w:p w14:paraId="043B33B1" w14:textId="77777777" w:rsidR="00501FE2" w:rsidRDefault="00501FE2" w:rsidP="00501FE2"/>
    <w:tbl>
      <w:tblPr>
        <w:tblW w:w="8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0"/>
        <w:gridCol w:w="2749"/>
      </w:tblGrid>
      <w:tr w:rsidR="00367BFF" w14:paraId="5FB8183D" w14:textId="77777777" w:rsidTr="44221130">
        <w:trPr>
          <w:trHeight w:val="140"/>
          <w:jc w:val="center"/>
        </w:trPr>
        <w:tc>
          <w:tcPr>
            <w:tcW w:w="5440" w:type="dxa"/>
            <w:shd w:val="clear" w:color="auto" w:fill="06AA35"/>
            <w:vAlign w:val="center"/>
          </w:tcPr>
          <w:p w14:paraId="6D8698BD" w14:textId="77777777" w:rsidR="00367BFF" w:rsidRDefault="00367BFF" w:rsidP="009B23EA">
            <w:pPr>
              <w:tabs>
                <w:tab w:val="left" w:pos="4820"/>
              </w:tabs>
              <w:jc w:val="center"/>
            </w:pPr>
            <w:r w:rsidRPr="004A13E8">
              <w:rPr>
                <w:rFonts w:cstheme="minorHAnsi"/>
                <w:b/>
                <w:color w:val="FFFFFF" w:themeColor="background1"/>
              </w:rPr>
              <w:t>DESCRIPTION</w:t>
            </w:r>
          </w:p>
        </w:tc>
        <w:tc>
          <w:tcPr>
            <w:tcW w:w="2749" w:type="dxa"/>
            <w:shd w:val="clear" w:color="auto" w:fill="06AA35"/>
            <w:vAlign w:val="center"/>
          </w:tcPr>
          <w:p w14:paraId="5F9E8744" w14:textId="77777777" w:rsidR="00367BFF" w:rsidRDefault="00367BFF" w:rsidP="009B23EA">
            <w:pPr>
              <w:tabs>
                <w:tab w:val="left" w:pos="4820"/>
              </w:tabs>
              <w:jc w:val="center"/>
            </w:pPr>
            <w:r w:rsidRPr="176412B3">
              <w:rPr>
                <w:b/>
                <w:color w:val="FFFFFF" w:themeColor="background1"/>
              </w:rPr>
              <w:t>SCORE</w:t>
            </w:r>
          </w:p>
        </w:tc>
      </w:tr>
      <w:tr w:rsidR="007A05B4" w14:paraId="6F2BA40D" w14:textId="77777777" w:rsidTr="44221130">
        <w:trPr>
          <w:trHeight w:val="140"/>
          <w:jc w:val="center"/>
        </w:trPr>
        <w:tc>
          <w:tcPr>
            <w:tcW w:w="5440" w:type="dxa"/>
            <w:shd w:val="clear" w:color="auto" w:fill="F2F2F2" w:themeFill="background1" w:themeFillShade="F2"/>
            <w:vAlign w:val="center"/>
          </w:tcPr>
          <w:p w14:paraId="15B4DEC4" w14:textId="361E693C" w:rsidR="007A05B4" w:rsidRPr="00291020" w:rsidRDefault="6ADCF9F5" w:rsidP="02ED53A9">
            <w:pPr>
              <w:pStyle w:val="BodyText"/>
              <w:spacing w:after="0" w:line="242" w:lineRule="exact"/>
              <w:jc w:val="both"/>
              <w:rPr>
                <w:rFonts w:cs="Calibri Light"/>
                <w:b/>
                <w:bCs/>
                <w:color w:val="333333"/>
              </w:rPr>
            </w:pPr>
            <w:r w:rsidRPr="02ED53A9">
              <w:rPr>
                <w:rFonts w:cs="Calibri Light"/>
                <w:b/>
                <w:bCs/>
              </w:rPr>
              <w:t>P</w:t>
            </w:r>
            <w:r w:rsidR="027E2F5D" w:rsidRPr="02ED53A9">
              <w:rPr>
                <w:rFonts w:cs="Calibri Light"/>
                <w:b/>
                <w:bCs/>
              </w:rPr>
              <w:t>roposed expert(s) previous experience</w:t>
            </w:r>
          </w:p>
        </w:tc>
        <w:tc>
          <w:tcPr>
            <w:tcW w:w="2749" w:type="dxa"/>
            <w:shd w:val="clear" w:color="auto" w:fill="F2F2F2" w:themeFill="background1" w:themeFillShade="F2"/>
            <w:vAlign w:val="center"/>
          </w:tcPr>
          <w:p w14:paraId="56D2C710" w14:textId="0589B10F" w:rsidR="007A05B4" w:rsidRPr="00291020" w:rsidRDefault="339350A5" w:rsidP="03E69CEB">
            <w:pPr>
              <w:pStyle w:val="BodyText"/>
              <w:spacing w:after="0" w:line="242" w:lineRule="exact"/>
              <w:jc w:val="center"/>
              <w:rPr>
                <w:rFonts w:cs="Calibri Light"/>
                <w:b/>
                <w:bCs/>
                <w:color w:val="333333"/>
              </w:rPr>
            </w:pPr>
            <w:r w:rsidRPr="02ED53A9">
              <w:rPr>
                <w:rFonts w:cs="Calibri Light"/>
                <w:b/>
                <w:bCs/>
              </w:rPr>
              <w:t xml:space="preserve">Max. </w:t>
            </w:r>
            <w:r w:rsidR="008417BB">
              <w:rPr>
                <w:rFonts w:cs="Calibri Light"/>
                <w:b/>
                <w:bCs/>
              </w:rPr>
              <w:t>41</w:t>
            </w:r>
            <w:r w:rsidRPr="02ED53A9">
              <w:rPr>
                <w:rFonts w:cs="Calibri Light"/>
                <w:b/>
                <w:bCs/>
              </w:rPr>
              <w:t xml:space="preserve"> points</w:t>
            </w:r>
          </w:p>
        </w:tc>
      </w:tr>
      <w:tr w:rsidR="00E80402" w14:paraId="711C981A" w14:textId="77777777" w:rsidTr="44221130">
        <w:trPr>
          <w:trHeight w:val="140"/>
          <w:jc w:val="center"/>
        </w:trPr>
        <w:tc>
          <w:tcPr>
            <w:tcW w:w="5440" w:type="dxa"/>
            <w:vAlign w:val="center"/>
          </w:tcPr>
          <w:p w14:paraId="5FF51F3E" w14:textId="05B3100B" w:rsidR="00F72E35" w:rsidRPr="00591717" w:rsidRDefault="3948E19A" w:rsidP="00D90AD3">
            <w:pPr>
              <w:pStyle w:val="ListParagraph"/>
              <w:numPr>
                <w:ilvl w:val="0"/>
                <w:numId w:val="18"/>
              </w:numPr>
              <w:tabs>
                <w:tab w:val="left" w:pos="4820"/>
              </w:tabs>
              <w:spacing w:after="160" w:line="259" w:lineRule="auto"/>
              <w:rPr>
                <w:rFonts w:eastAsia="Arial MT" w:cs="Arial MT"/>
                <w:color w:val="333333"/>
              </w:rPr>
            </w:pPr>
            <w:r w:rsidRPr="023F6FEC">
              <w:rPr>
                <w:rFonts w:eastAsia="Arial MT" w:cs="Arial MT"/>
              </w:rPr>
              <w:t xml:space="preserve">Proven experience of previous </w:t>
            </w:r>
            <w:r w:rsidR="18F326D9" w:rsidRPr="023F6FEC">
              <w:rPr>
                <w:rFonts w:eastAsia="Arial MT" w:cs="Arial MT"/>
              </w:rPr>
              <w:t xml:space="preserve">(up to 5 years) </w:t>
            </w:r>
            <w:r w:rsidRPr="023F6FEC">
              <w:rPr>
                <w:rFonts w:eastAsia="Arial MT" w:cs="Arial MT"/>
              </w:rPr>
              <w:t xml:space="preserve">or current European Union </w:t>
            </w:r>
            <w:r w:rsidR="016C5FE3" w:rsidRPr="023F6FEC">
              <w:rPr>
                <w:rFonts w:eastAsia="Arial MT" w:cs="Arial MT"/>
              </w:rPr>
              <w:t xml:space="preserve">funded </w:t>
            </w:r>
            <w:r w:rsidRPr="023F6FEC">
              <w:rPr>
                <w:rFonts w:eastAsia="Arial MT" w:cs="Arial MT"/>
              </w:rPr>
              <w:t>projects</w:t>
            </w:r>
            <w:r w:rsidR="5352AA39" w:rsidRPr="023F6FEC">
              <w:rPr>
                <w:rFonts w:eastAsia="Arial MT" w:cs="Arial MT"/>
              </w:rPr>
              <w:t>/tenders</w:t>
            </w:r>
            <w:r w:rsidRPr="023F6FEC">
              <w:rPr>
                <w:rFonts w:eastAsia="Arial MT" w:cs="Arial MT"/>
              </w:rPr>
              <w:t xml:space="preserve"> (like Horizon Europe, Digital Europe, </w:t>
            </w:r>
            <w:r w:rsidR="3E127C13" w:rsidRPr="023F6FEC">
              <w:rPr>
                <w:rFonts w:eastAsia="Arial MT" w:cs="Arial MT"/>
              </w:rPr>
              <w:t xml:space="preserve">or </w:t>
            </w:r>
            <w:r w:rsidRPr="023F6FEC">
              <w:rPr>
                <w:rFonts w:eastAsia="Arial MT" w:cs="Arial MT"/>
              </w:rPr>
              <w:t xml:space="preserve">Interreg) </w:t>
            </w:r>
            <w:r w:rsidR="5352AA39" w:rsidRPr="023F6FEC">
              <w:rPr>
                <w:rFonts w:eastAsia="Arial MT" w:cs="Arial MT"/>
              </w:rPr>
              <w:t xml:space="preserve">including ESIF and IPA programmes </w:t>
            </w:r>
            <w:r w:rsidRPr="023F6FEC">
              <w:rPr>
                <w:rFonts w:eastAsia="Arial MT" w:cs="Arial MT"/>
              </w:rPr>
              <w:t>with involvement of the proposed expert(s).</w:t>
            </w:r>
          </w:p>
          <w:p w14:paraId="72121275" w14:textId="75D59635" w:rsidR="00591717" w:rsidRPr="00CE7402" w:rsidRDefault="00591717" w:rsidP="00F6135B">
            <w:pPr>
              <w:tabs>
                <w:tab w:val="left" w:pos="4820"/>
              </w:tabs>
              <w:spacing w:after="160" w:line="259" w:lineRule="auto"/>
              <w:ind w:left="306"/>
              <w:rPr>
                <w:rFonts w:eastAsia="Arial MT" w:cs="Arial MT"/>
                <w:color w:val="333333"/>
                <w:szCs w:val="20"/>
              </w:rPr>
            </w:pPr>
            <w:r w:rsidRPr="00CE7402">
              <w:rPr>
                <w:rFonts w:eastAsia="Arial MT" w:cs="Arial MT"/>
                <w:color w:val="333333"/>
                <w:szCs w:val="20"/>
              </w:rPr>
              <w:t>The candidate will need to justify the previous experience in EU projects of the proposed expert(s) in the technical proposal (see annex 2</w:t>
            </w:r>
            <w:r w:rsidR="00317518" w:rsidRPr="00CE7402">
              <w:rPr>
                <w:rFonts w:eastAsia="Arial MT" w:cs="Arial MT"/>
                <w:color w:val="333333"/>
                <w:szCs w:val="20"/>
              </w:rPr>
              <w:t xml:space="preserve"> and 6</w:t>
            </w:r>
            <w:r w:rsidRPr="00CE7402">
              <w:rPr>
                <w:rFonts w:eastAsia="Arial MT" w:cs="Arial MT"/>
                <w:color w:val="333333"/>
                <w:szCs w:val="20"/>
              </w:rPr>
              <w:t xml:space="preserve">) by providing at least: </w:t>
            </w:r>
          </w:p>
          <w:p w14:paraId="3A5B025F" w14:textId="6579C966" w:rsidR="00591717" w:rsidRPr="00F6135B" w:rsidRDefault="00591717" w:rsidP="00D90AD3">
            <w:pPr>
              <w:pStyle w:val="ListParagraph"/>
              <w:numPr>
                <w:ilvl w:val="0"/>
                <w:numId w:val="38"/>
              </w:numPr>
              <w:tabs>
                <w:tab w:val="left" w:pos="4820"/>
              </w:tabs>
              <w:spacing w:after="0" w:line="240" w:lineRule="auto"/>
              <w:rPr>
                <w:rFonts w:eastAsia="Arial MT" w:cs="Arial MT"/>
                <w:color w:val="333333"/>
              </w:rPr>
            </w:pPr>
            <w:r w:rsidRPr="00F6135B">
              <w:rPr>
                <w:rFonts w:eastAsia="Arial MT" w:cs="Arial MT"/>
              </w:rPr>
              <w:t>Title and scope of the EU project/tender.</w:t>
            </w:r>
          </w:p>
          <w:p w14:paraId="5076D7B1" w14:textId="2F8581B5" w:rsidR="00591717" w:rsidRPr="00F6135B" w:rsidRDefault="00591717" w:rsidP="00D90AD3">
            <w:pPr>
              <w:pStyle w:val="ListParagraph"/>
              <w:numPr>
                <w:ilvl w:val="0"/>
                <w:numId w:val="38"/>
              </w:numPr>
              <w:tabs>
                <w:tab w:val="left" w:pos="4820"/>
              </w:tabs>
              <w:spacing w:after="0" w:line="240" w:lineRule="auto"/>
              <w:rPr>
                <w:rFonts w:eastAsia="Arial MT" w:cs="Arial MT"/>
                <w:color w:val="333333"/>
              </w:rPr>
            </w:pPr>
            <w:r w:rsidRPr="00F6135B">
              <w:rPr>
                <w:rFonts w:eastAsia="Arial MT" w:cs="Arial MT"/>
              </w:rPr>
              <w:t>Description of the EU Project/tender</w:t>
            </w:r>
          </w:p>
          <w:p w14:paraId="7A3D91B1" w14:textId="5B6FA136" w:rsidR="00591717" w:rsidRPr="00F6135B" w:rsidRDefault="00591717" w:rsidP="00D90AD3">
            <w:pPr>
              <w:pStyle w:val="ListParagraph"/>
              <w:numPr>
                <w:ilvl w:val="0"/>
                <w:numId w:val="38"/>
              </w:numPr>
              <w:tabs>
                <w:tab w:val="left" w:pos="4820"/>
              </w:tabs>
              <w:spacing w:after="0" w:line="240" w:lineRule="auto"/>
              <w:rPr>
                <w:rFonts w:eastAsia="Arial MT" w:cs="Arial MT"/>
              </w:rPr>
            </w:pPr>
            <w:r w:rsidRPr="00F6135B">
              <w:rPr>
                <w:rFonts w:eastAsia="Arial MT" w:cs="Arial MT"/>
              </w:rPr>
              <w:t>Involvement/role of the  proposed expert(s) in the EU</w:t>
            </w:r>
            <w:r w:rsidR="00F6135B" w:rsidRPr="00F6135B">
              <w:rPr>
                <w:rFonts w:eastAsia="Arial MT" w:cs="Arial MT"/>
              </w:rPr>
              <w:t xml:space="preserve"> </w:t>
            </w:r>
            <w:r w:rsidRPr="00F6135B">
              <w:rPr>
                <w:rFonts w:eastAsia="Arial MT" w:cs="Arial MT"/>
              </w:rPr>
              <w:t>Project/tender.</w:t>
            </w:r>
          </w:p>
          <w:p w14:paraId="61CDA3B0" w14:textId="65749CF6" w:rsidR="00591717" w:rsidRPr="00F6135B" w:rsidRDefault="00591717" w:rsidP="00D90AD3">
            <w:pPr>
              <w:pStyle w:val="ListParagraph"/>
              <w:numPr>
                <w:ilvl w:val="0"/>
                <w:numId w:val="38"/>
              </w:numPr>
              <w:tabs>
                <w:tab w:val="left" w:pos="4820"/>
              </w:tabs>
              <w:spacing w:after="160" w:line="259" w:lineRule="auto"/>
              <w:rPr>
                <w:rFonts w:eastAsia="Arial MT" w:cs="Arial MT"/>
              </w:rPr>
            </w:pPr>
            <w:r w:rsidRPr="00F6135B">
              <w:rPr>
                <w:rFonts w:eastAsia="Arial MT" w:cs="Arial MT"/>
              </w:rPr>
              <w:t>Website link to the project or public tender decision (if available).</w:t>
            </w:r>
          </w:p>
          <w:p w14:paraId="38F4F733" w14:textId="7E1E2A06" w:rsidR="00591717" w:rsidRPr="00591717" w:rsidRDefault="00591717" w:rsidP="00F6135B">
            <w:pPr>
              <w:tabs>
                <w:tab w:val="left" w:pos="4820"/>
              </w:tabs>
              <w:spacing w:after="160" w:line="259" w:lineRule="auto"/>
              <w:ind w:left="306"/>
              <w:rPr>
                <w:rFonts w:eastAsia="Arial MT" w:cs="Arial MT"/>
                <w:color w:val="333333"/>
              </w:rPr>
            </w:pPr>
            <w:r w:rsidRPr="00CE7402">
              <w:rPr>
                <w:rFonts w:eastAsia="Arial MT" w:cs="Arial MT"/>
              </w:rPr>
              <w:t>Based on this evidence, the tender will be scored as follows:</w:t>
            </w:r>
            <w:r>
              <w:rPr>
                <w:rFonts w:eastAsia="Arial MT" w:cs="Arial MT"/>
              </w:rPr>
              <w:t xml:space="preserve"> </w:t>
            </w:r>
          </w:p>
          <w:p w14:paraId="039E31C0" w14:textId="12EB46B3" w:rsidR="00F6135B" w:rsidRPr="00F6135B" w:rsidRDefault="00F6135B" w:rsidP="00D90AD3">
            <w:pPr>
              <w:pStyle w:val="ListParagraph"/>
              <w:numPr>
                <w:ilvl w:val="0"/>
                <w:numId w:val="39"/>
              </w:numPr>
              <w:tabs>
                <w:tab w:val="left" w:pos="4820"/>
              </w:tabs>
              <w:spacing w:after="0" w:line="259" w:lineRule="auto"/>
              <w:rPr>
                <w:rFonts w:eastAsia="Arial MT" w:cs="Arial MT"/>
              </w:rPr>
            </w:pPr>
            <w:r>
              <w:rPr>
                <w:rFonts w:eastAsia="Arial MT" w:cs="Arial MT"/>
              </w:rPr>
              <w:t xml:space="preserve">3 </w:t>
            </w:r>
            <w:r w:rsidRPr="00F6135B">
              <w:rPr>
                <w:rFonts w:eastAsia="Arial MT" w:cs="Arial MT"/>
              </w:rPr>
              <w:t xml:space="preserve">EU funded or more projects/public tenders: 15 points </w:t>
            </w:r>
          </w:p>
          <w:p w14:paraId="2D228311" w14:textId="77777777" w:rsidR="00F6135B" w:rsidRPr="00F6135B" w:rsidRDefault="00F6135B" w:rsidP="00D90AD3">
            <w:pPr>
              <w:pStyle w:val="ListParagraph"/>
              <w:numPr>
                <w:ilvl w:val="0"/>
                <w:numId w:val="39"/>
              </w:numPr>
              <w:tabs>
                <w:tab w:val="left" w:pos="4820"/>
              </w:tabs>
              <w:spacing w:after="0" w:line="259" w:lineRule="auto"/>
              <w:rPr>
                <w:rFonts w:eastAsia="Arial MT" w:cs="Arial MT"/>
                <w:color w:val="333333"/>
              </w:rPr>
            </w:pPr>
            <w:r w:rsidRPr="00F6135B">
              <w:rPr>
                <w:rFonts w:eastAsia="Arial MT" w:cs="Arial MT"/>
              </w:rPr>
              <w:t>2 EU funded projects/public tenders: 10 points</w:t>
            </w:r>
          </w:p>
          <w:p w14:paraId="25B35391" w14:textId="77777777" w:rsidR="00F6135B" w:rsidRPr="00F6135B" w:rsidRDefault="00F6135B" w:rsidP="00D90AD3">
            <w:pPr>
              <w:pStyle w:val="ListParagraph"/>
              <w:numPr>
                <w:ilvl w:val="0"/>
                <w:numId w:val="39"/>
              </w:numPr>
              <w:tabs>
                <w:tab w:val="left" w:pos="4820"/>
              </w:tabs>
              <w:spacing w:after="160" w:line="259" w:lineRule="auto"/>
              <w:rPr>
                <w:rFonts w:eastAsia="Arial MT" w:cs="Arial MT"/>
              </w:rPr>
            </w:pPr>
            <w:r w:rsidRPr="00F6135B">
              <w:rPr>
                <w:rFonts w:eastAsia="Arial MT" w:cs="Arial MT"/>
              </w:rPr>
              <w:t xml:space="preserve">1 EU funded project/public tender: 5 points </w:t>
            </w:r>
          </w:p>
          <w:p w14:paraId="640D80FF" w14:textId="792BB5A5" w:rsidR="000D4F17" w:rsidRPr="00F6135B" w:rsidRDefault="4CA92A30" w:rsidP="00D90AD3">
            <w:pPr>
              <w:pStyle w:val="ListParagraph"/>
              <w:numPr>
                <w:ilvl w:val="0"/>
                <w:numId w:val="39"/>
              </w:numPr>
              <w:tabs>
                <w:tab w:val="left" w:pos="4820"/>
              </w:tabs>
              <w:spacing w:after="160" w:line="259" w:lineRule="auto"/>
              <w:rPr>
                <w:rFonts w:eastAsia="Arial MT" w:cs="Arial MT"/>
                <w:color w:val="333333"/>
              </w:rPr>
            </w:pPr>
            <w:r w:rsidRPr="00F6135B">
              <w:rPr>
                <w:rFonts w:eastAsia="Arial MT" w:cs="Arial MT"/>
              </w:rPr>
              <w:t xml:space="preserve">0 </w:t>
            </w:r>
            <w:r w:rsidR="4D25DD59" w:rsidRPr="00F6135B">
              <w:rPr>
                <w:rFonts w:eastAsia="Arial MT" w:cs="Arial MT"/>
              </w:rPr>
              <w:t xml:space="preserve">EU </w:t>
            </w:r>
            <w:r w:rsidR="08B4A929" w:rsidRPr="00F6135B">
              <w:rPr>
                <w:rFonts w:eastAsia="Arial MT" w:cs="Arial MT"/>
              </w:rPr>
              <w:t xml:space="preserve">funded </w:t>
            </w:r>
            <w:r w:rsidRPr="00F6135B">
              <w:rPr>
                <w:rFonts w:eastAsia="Arial MT" w:cs="Arial MT"/>
              </w:rPr>
              <w:t>projects</w:t>
            </w:r>
            <w:r w:rsidR="305B01BF" w:rsidRPr="00F6135B">
              <w:rPr>
                <w:rFonts w:eastAsia="Arial MT" w:cs="Arial MT"/>
              </w:rPr>
              <w:t>/public tenders</w:t>
            </w:r>
            <w:r w:rsidRPr="00F6135B">
              <w:rPr>
                <w:rFonts w:eastAsia="Arial MT" w:cs="Arial MT"/>
              </w:rPr>
              <w:t>: 0 points</w:t>
            </w:r>
          </w:p>
          <w:p w14:paraId="107AB2EF" w14:textId="77777777" w:rsidR="004246E3" w:rsidRDefault="004246E3" w:rsidP="004246E3">
            <w:pPr>
              <w:tabs>
                <w:tab w:val="left" w:pos="4820"/>
              </w:tabs>
              <w:spacing w:after="0" w:line="259" w:lineRule="auto"/>
              <w:ind w:left="720"/>
              <w:rPr>
                <w:rFonts w:eastAsia="Arial MT" w:cs="Arial MT"/>
              </w:rPr>
            </w:pPr>
          </w:p>
          <w:p w14:paraId="1777E27E" w14:textId="77777777" w:rsidR="00F6135B" w:rsidRDefault="004246E3" w:rsidP="00F6135B">
            <w:pPr>
              <w:tabs>
                <w:tab w:val="left" w:pos="4820"/>
              </w:tabs>
              <w:spacing w:after="0" w:line="259" w:lineRule="auto"/>
              <w:ind w:left="306"/>
              <w:rPr>
                <w:rFonts w:eastAsia="Arial MT" w:cs="Arial MT"/>
              </w:rPr>
            </w:pPr>
            <w:r>
              <w:rPr>
                <w:rFonts w:eastAsia="Arial MT" w:cs="Arial MT"/>
              </w:rPr>
              <w:t xml:space="preserve">For each EU project/public tender, we will award extra </w:t>
            </w:r>
            <w:r w:rsidR="008417BB">
              <w:rPr>
                <w:rFonts w:eastAsia="Arial MT" w:cs="Arial MT"/>
              </w:rPr>
              <w:t>2</w:t>
            </w:r>
            <w:r>
              <w:rPr>
                <w:rFonts w:eastAsia="Arial MT" w:cs="Arial MT"/>
              </w:rPr>
              <w:t xml:space="preserve"> points if it’s related with</w:t>
            </w:r>
            <w:r w:rsidR="00F6135B">
              <w:rPr>
                <w:rFonts w:eastAsia="Arial MT" w:cs="Arial MT"/>
              </w:rPr>
              <w:t xml:space="preserve"> </w:t>
            </w:r>
          </w:p>
          <w:p w14:paraId="3043621B" w14:textId="77777777" w:rsidR="00F6135B" w:rsidRPr="00F6135B" w:rsidRDefault="00F6135B" w:rsidP="00D90AD3">
            <w:pPr>
              <w:pStyle w:val="ListParagraph"/>
              <w:numPr>
                <w:ilvl w:val="0"/>
                <w:numId w:val="40"/>
              </w:numPr>
              <w:tabs>
                <w:tab w:val="left" w:pos="4820"/>
              </w:tabs>
              <w:spacing w:after="0" w:line="259" w:lineRule="auto"/>
              <w:rPr>
                <w:rFonts w:eastAsia="Arial MT" w:cs="Arial MT"/>
              </w:rPr>
            </w:pPr>
            <w:r w:rsidRPr="00F6135B">
              <w:rPr>
                <w:rFonts w:eastAsia="Arial MT" w:cs="Arial MT"/>
              </w:rPr>
              <w:t>B</w:t>
            </w:r>
            <w:r w:rsidR="004246E3" w:rsidRPr="00F6135B">
              <w:rPr>
                <w:rFonts w:eastAsia="Arial MT" w:cs="Arial MT"/>
              </w:rPr>
              <w:t>usiness creation</w:t>
            </w:r>
          </w:p>
          <w:p w14:paraId="6365EB81" w14:textId="77777777" w:rsidR="00F6135B" w:rsidRPr="00F6135B" w:rsidRDefault="00F6135B" w:rsidP="00D90AD3">
            <w:pPr>
              <w:pStyle w:val="ListParagraph"/>
              <w:numPr>
                <w:ilvl w:val="0"/>
                <w:numId w:val="40"/>
              </w:numPr>
              <w:tabs>
                <w:tab w:val="left" w:pos="4820"/>
              </w:tabs>
              <w:spacing w:after="0" w:line="259" w:lineRule="auto"/>
              <w:rPr>
                <w:rFonts w:eastAsia="Arial MT" w:cs="Arial MT"/>
              </w:rPr>
            </w:pPr>
            <w:r w:rsidRPr="00F6135B">
              <w:rPr>
                <w:rFonts w:eastAsia="Arial MT" w:cs="Arial MT"/>
              </w:rPr>
              <w:t>I</w:t>
            </w:r>
            <w:r w:rsidR="004246E3" w:rsidRPr="00F6135B">
              <w:rPr>
                <w:rFonts w:eastAsia="Arial MT" w:cs="Arial MT"/>
              </w:rPr>
              <w:t>nnovation</w:t>
            </w:r>
          </w:p>
          <w:p w14:paraId="5EDB53E3" w14:textId="46BB9FAC" w:rsidR="004246E3" w:rsidRPr="00F6135B" w:rsidRDefault="00F6135B" w:rsidP="00D90AD3">
            <w:pPr>
              <w:pStyle w:val="ListParagraph"/>
              <w:numPr>
                <w:ilvl w:val="0"/>
                <w:numId w:val="40"/>
              </w:numPr>
              <w:tabs>
                <w:tab w:val="left" w:pos="4820"/>
              </w:tabs>
              <w:spacing w:after="0" w:line="259" w:lineRule="auto"/>
              <w:rPr>
                <w:rFonts w:eastAsia="Arial MT" w:cs="Arial MT"/>
              </w:rPr>
            </w:pPr>
            <w:r w:rsidRPr="00F6135B">
              <w:rPr>
                <w:rFonts w:eastAsia="Arial MT" w:cs="Arial MT"/>
              </w:rPr>
              <w:t>E</w:t>
            </w:r>
            <w:r w:rsidR="004246E3" w:rsidRPr="00F6135B">
              <w:rPr>
                <w:rFonts w:eastAsia="Arial MT" w:cs="Arial MT"/>
              </w:rPr>
              <w:t xml:space="preserve">ducation. </w:t>
            </w:r>
          </w:p>
          <w:p w14:paraId="321E836F" w14:textId="105469CC" w:rsidR="00C326EB" w:rsidRPr="00C326EB" w:rsidRDefault="00C326EB" w:rsidP="00C326EB">
            <w:pPr>
              <w:tabs>
                <w:tab w:val="left" w:pos="4820"/>
              </w:tabs>
              <w:spacing w:after="0" w:line="240" w:lineRule="auto"/>
              <w:rPr>
                <w:rFonts w:eastAsia="Arial MT" w:cs="Arial MT"/>
              </w:rPr>
            </w:pPr>
            <w:r>
              <w:rPr>
                <w:rFonts w:eastAsia="Arial MT" w:cs="Arial MT"/>
              </w:rPr>
              <w:t xml:space="preserve"> </w:t>
            </w:r>
          </w:p>
        </w:tc>
        <w:tc>
          <w:tcPr>
            <w:tcW w:w="2749" w:type="dxa"/>
            <w:vAlign w:val="center"/>
          </w:tcPr>
          <w:p w14:paraId="57A50779" w14:textId="546B8CE3" w:rsidR="00E80402" w:rsidRDefault="008417BB" w:rsidP="03E69CEB">
            <w:pPr>
              <w:pStyle w:val="ListParagraph"/>
              <w:tabs>
                <w:tab w:val="left" w:pos="4820"/>
              </w:tabs>
              <w:spacing w:after="160" w:line="259" w:lineRule="auto"/>
              <w:jc w:val="both"/>
              <w:rPr>
                <w:rFonts w:cs="Calibri Light"/>
              </w:rPr>
            </w:pPr>
            <w:r>
              <w:rPr>
                <w:rFonts w:cs="Calibri Light"/>
              </w:rPr>
              <w:t>21</w:t>
            </w:r>
            <w:r w:rsidR="339350A5" w:rsidRPr="02ED53A9">
              <w:rPr>
                <w:rFonts w:cs="Calibri Light"/>
              </w:rPr>
              <w:t xml:space="preserve"> points</w:t>
            </w:r>
          </w:p>
        </w:tc>
      </w:tr>
      <w:tr w:rsidR="2EB00308" w14:paraId="4CA26429" w14:textId="77777777" w:rsidTr="44221130">
        <w:trPr>
          <w:trHeight w:val="113"/>
          <w:jc w:val="center"/>
        </w:trPr>
        <w:tc>
          <w:tcPr>
            <w:tcW w:w="5440" w:type="dxa"/>
            <w:vAlign w:val="center"/>
          </w:tcPr>
          <w:p w14:paraId="0109705A" w14:textId="20D6075D" w:rsidR="56706E1C" w:rsidRDefault="235AE923" w:rsidP="00D90AD3">
            <w:pPr>
              <w:pStyle w:val="ListParagraph"/>
              <w:numPr>
                <w:ilvl w:val="0"/>
                <w:numId w:val="18"/>
              </w:numPr>
              <w:tabs>
                <w:tab w:val="left" w:pos="4820"/>
              </w:tabs>
              <w:spacing w:after="160" w:line="259" w:lineRule="auto"/>
              <w:jc w:val="both"/>
              <w:rPr>
                <w:rFonts w:eastAsia="Calibri Light" w:cs="Calibri Light"/>
              </w:rPr>
            </w:pPr>
            <w:r w:rsidRPr="44221130">
              <w:rPr>
                <w:rFonts w:eastAsia="Calibri Light" w:cs="Calibri Light"/>
              </w:rPr>
              <w:t>Proven experience of</w:t>
            </w:r>
            <w:r w:rsidR="67466134" w:rsidRPr="44221130">
              <w:rPr>
                <w:rFonts w:eastAsia="Calibri Light" w:cs="Calibri Light"/>
              </w:rPr>
              <w:t xml:space="preserve"> </w:t>
            </w:r>
            <w:r w:rsidRPr="44221130">
              <w:rPr>
                <w:rFonts w:eastAsia="Calibri Light" w:cs="Calibri Light"/>
              </w:rPr>
              <w:t xml:space="preserve">prior events </w:t>
            </w:r>
            <w:r w:rsidR="6F58CBEE" w:rsidRPr="44221130">
              <w:rPr>
                <w:rFonts w:eastAsia="Calibri Light" w:cs="Calibri Light"/>
              </w:rPr>
              <w:t xml:space="preserve">organised </w:t>
            </w:r>
            <w:r w:rsidRPr="44221130">
              <w:rPr>
                <w:rFonts w:eastAsia="Calibri Light" w:cs="Calibri Light"/>
              </w:rPr>
              <w:t>with the involvement of EIT KICs (or comparable European innovation bodies) participated by the proposed expert(s) as speaker or moderator.</w:t>
            </w:r>
          </w:p>
          <w:p w14:paraId="1E814119" w14:textId="17180960" w:rsidR="00317518" w:rsidRPr="00240716" w:rsidRDefault="1FA98C98" w:rsidP="426DE8F5">
            <w:pPr>
              <w:tabs>
                <w:tab w:val="left" w:pos="4820"/>
              </w:tabs>
              <w:spacing w:after="160" w:line="259" w:lineRule="auto"/>
              <w:ind w:left="306"/>
              <w:rPr>
                <w:rFonts w:eastAsia="Arial MT" w:cs="Arial MT"/>
                <w:color w:val="333333"/>
              </w:rPr>
            </w:pPr>
            <w:r w:rsidRPr="44221130">
              <w:rPr>
                <w:rFonts w:eastAsia="Arial MT" w:cs="Arial MT"/>
              </w:rPr>
              <w:t xml:space="preserve">The candidate will need to justify the previous </w:t>
            </w:r>
            <w:r w:rsidR="7A580EF5" w:rsidRPr="44221130">
              <w:rPr>
                <w:rFonts w:eastAsia="Arial MT" w:cs="Arial MT"/>
              </w:rPr>
              <w:t>events organised</w:t>
            </w:r>
            <w:r w:rsidRPr="44221130">
              <w:rPr>
                <w:rFonts w:eastAsia="Arial MT" w:cs="Arial MT"/>
              </w:rPr>
              <w:t xml:space="preserve"> </w:t>
            </w:r>
            <w:r w:rsidR="725011A9" w:rsidRPr="44221130">
              <w:rPr>
                <w:rFonts w:eastAsia="Arial MT" w:cs="Arial MT"/>
              </w:rPr>
              <w:t>by</w:t>
            </w:r>
            <w:r w:rsidRPr="44221130">
              <w:rPr>
                <w:rFonts w:eastAsia="Arial MT" w:cs="Arial MT"/>
              </w:rPr>
              <w:t xml:space="preserve"> the proposed expert(s) by providing at least: </w:t>
            </w:r>
          </w:p>
          <w:p w14:paraId="7D6EDAEC" w14:textId="1564B152" w:rsidR="00317518" w:rsidRPr="00317518" w:rsidRDefault="03BF57D5" w:rsidP="00D90AD3">
            <w:pPr>
              <w:pStyle w:val="ListParagraph"/>
              <w:numPr>
                <w:ilvl w:val="0"/>
                <w:numId w:val="41"/>
              </w:numPr>
              <w:tabs>
                <w:tab w:val="left" w:pos="4820"/>
              </w:tabs>
              <w:spacing w:after="0" w:line="240" w:lineRule="auto"/>
              <w:rPr>
                <w:rFonts w:eastAsia="Arial MT" w:cs="Arial MT"/>
              </w:rPr>
            </w:pPr>
            <w:r w:rsidRPr="426DE8F5">
              <w:rPr>
                <w:rFonts w:eastAsia="Arial MT" w:cs="Arial MT"/>
              </w:rPr>
              <w:t>Title of the event</w:t>
            </w:r>
          </w:p>
          <w:p w14:paraId="27405C1F" w14:textId="2516DED8" w:rsidR="00317518" w:rsidRPr="00317518" w:rsidRDefault="03BF57D5" w:rsidP="00D90AD3">
            <w:pPr>
              <w:pStyle w:val="ListParagraph"/>
              <w:numPr>
                <w:ilvl w:val="0"/>
                <w:numId w:val="41"/>
              </w:numPr>
              <w:tabs>
                <w:tab w:val="left" w:pos="4820"/>
              </w:tabs>
              <w:spacing w:after="0" w:line="240" w:lineRule="auto"/>
              <w:rPr>
                <w:rFonts w:eastAsia="Arial MT" w:cs="Arial MT"/>
              </w:rPr>
            </w:pPr>
            <w:r w:rsidRPr="426DE8F5">
              <w:rPr>
                <w:rFonts w:eastAsia="Arial MT" w:cs="Arial MT"/>
              </w:rPr>
              <w:t>Topic of the event</w:t>
            </w:r>
          </w:p>
          <w:p w14:paraId="5CF95184" w14:textId="32B7ECCB" w:rsidR="00317518" w:rsidRPr="00317518" w:rsidRDefault="03BF57D5" w:rsidP="00D90AD3">
            <w:pPr>
              <w:pStyle w:val="ListParagraph"/>
              <w:numPr>
                <w:ilvl w:val="0"/>
                <w:numId w:val="41"/>
              </w:numPr>
              <w:tabs>
                <w:tab w:val="left" w:pos="4820"/>
              </w:tabs>
              <w:spacing w:after="0" w:line="240" w:lineRule="auto"/>
              <w:rPr>
                <w:rFonts w:eastAsia="Arial MT" w:cs="Arial MT"/>
              </w:rPr>
            </w:pPr>
            <w:r w:rsidRPr="426DE8F5">
              <w:rPr>
                <w:rFonts w:eastAsia="Arial MT" w:cs="Arial MT"/>
              </w:rPr>
              <w:t>Place and date of the event</w:t>
            </w:r>
          </w:p>
          <w:p w14:paraId="5295C379" w14:textId="4EFA5566" w:rsidR="00317518" w:rsidRPr="00317518" w:rsidRDefault="03BF57D5" w:rsidP="00D90AD3">
            <w:pPr>
              <w:pStyle w:val="ListParagraph"/>
              <w:numPr>
                <w:ilvl w:val="0"/>
                <w:numId w:val="41"/>
              </w:numPr>
              <w:tabs>
                <w:tab w:val="left" w:pos="4820"/>
              </w:tabs>
              <w:spacing w:after="0" w:line="240" w:lineRule="auto"/>
              <w:rPr>
                <w:rFonts w:eastAsia="Arial MT" w:cs="Arial MT"/>
              </w:rPr>
            </w:pPr>
            <w:r w:rsidRPr="426DE8F5">
              <w:rPr>
                <w:rFonts w:eastAsia="Arial MT" w:cs="Arial MT"/>
              </w:rPr>
              <w:t>Link to the agenda of the event</w:t>
            </w:r>
          </w:p>
          <w:p w14:paraId="49665FA4" w14:textId="1DA66C5B" w:rsidR="00317518" w:rsidRPr="00317518" w:rsidRDefault="03BF57D5" w:rsidP="00D90AD3">
            <w:pPr>
              <w:pStyle w:val="ListParagraph"/>
              <w:numPr>
                <w:ilvl w:val="0"/>
                <w:numId w:val="41"/>
              </w:numPr>
              <w:tabs>
                <w:tab w:val="left" w:pos="4820"/>
              </w:tabs>
              <w:spacing w:after="0" w:line="240" w:lineRule="auto"/>
              <w:rPr>
                <w:rFonts w:eastAsia="Arial MT" w:cs="Arial MT"/>
              </w:rPr>
            </w:pPr>
            <w:r w:rsidRPr="426DE8F5">
              <w:rPr>
                <w:rFonts w:eastAsia="Arial MT" w:cs="Arial MT"/>
              </w:rPr>
              <w:t xml:space="preserve">Role of the supplier and the proposed expert in the project/services provided. </w:t>
            </w:r>
          </w:p>
          <w:p w14:paraId="5110AC7C" w14:textId="38B93436" w:rsidR="00317518" w:rsidRPr="00317518" w:rsidRDefault="00317518" w:rsidP="426DE8F5">
            <w:pPr>
              <w:tabs>
                <w:tab w:val="left" w:pos="4820"/>
              </w:tabs>
              <w:spacing w:after="0" w:line="240" w:lineRule="auto"/>
              <w:ind w:left="720"/>
              <w:rPr>
                <w:rFonts w:eastAsia="Arial MT" w:cs="Arial MT"/>
              </w:rPr>
            </w:pPr>
          </w:p>
          <w:p w14:paraId="177E50F6" w14:textId="0CE3A85F" w:rsidR="00317518" w:rsidRPr="00317518" w:rsidRDefault="1C6328B8" w:rsidP="426DE8F5">
            <w:pPr>
              <w:tabs>
                <w:tab w:val="left" w:pos="4820"/>
              </w:tabs>
              <w:spacing w:after="0" w:line="240" w:lineRule="auto"/>
              <w:rPr>
                <w:rFonts w:eastAsia="Arial MT" w:cs="Arial MT"/>
                <w:color w:val="333333"/>
              </w:rPr>
            </w:pPr>
            <w:r w:rsidRPr="426DE8F5">
              <w:rPr>
                <w:rFonts w:eastAsia="Arial MT" w:cs="Arial MT"/>
              </w:rPr>
              <w:lastRenderedPageBreak/>
              <w:t xml:space="preserve">Based on this evidence, the tender will be scored as follows: </w:t>
            </w:r>
          </w:p>
          <w:p w14:paraId="55D7D4B1" w14:textId="327014DF" w:rsidR="00F6135B" w:rsidRPr="00F6135B" w:rsidRDefault="00F6135B" w:rsidP="00D90AD3">
            <w:pPr>
              <w:pStyle w:val="ListParagraph"/>
              <w:numPr>
                <w:ilvl w:val="0"/>
                <w:numId w:val="42"/>
              </w:numPr>
              <w:tabs>
                <w:tab w:val="left" w:pos="4820"/>
              </w:tabs>
              <w:spacing w:after="160" w:line="259" w:lineRule="auto"/>
              <w:rPr>
                <w:rFonts w:eastAsia="Arial MT" w:cs="Arial MT"/>
              </w:rPr>
            </w:pPr>
            <w:r>
              <w:rPr>
                <w:rFonts w:eastAsia="Arial MT" w:cs="Arial MT"/>
              </w:rPr>
              <w:t xml:space="preserve">3 </w:t>
            </w:r>
            <w:r w:rsidRPr="00F6135B">
              <w:rPr>
                <w:rFonts w:eastAsia="Arial MT" w:cs="Arial MT"/>
              </w:rPr>
              <w:t>or more events: 15 points</w:t>
            </w:r>
          </w:p>
          <w:p w14:paraId="11C580F8" w14:textId="77777777" w:rsidR="00F6135B" w:rsidRPr="00F6135B" w:rsidRDefault="00F6135B" w:rsidP="00D90AD3">
            <w:pPr>
              <w:pStyle w:val="ListParagraph"/>
              <w:numPr>
                <w:ilvl w:val="0"/>
                <w:numId w:val="42"/>
              </w:numPr>
              <w:tabs>
                <w:tab w:val="left" w:pos="4820"/>
              </w:tabs>
              <w:spacing w:after="160" w:line="259" w:lineRule="auto"/>
              <w:rPr>
                <w:rFonts w:eastAsia="Arial MT" w:cs="Arial MT"/>
              </w:rPr>
            </w:pPr>
            <w:r w:rsidRPr="00F6135B">
              <w:rPr>
                <w:rFonts w:eastAsia="Arial MT" w:cs="Arial MT"/>
              </w:rPr>
              <w:t>2 events: 10 points</w:t>
            </w:r>
          </w:p>
          <w:p w14:paraId="3B249DE8" w14:textId="77777777" w:rsidR="00F6135B" w:rsidRPr="00F6135B" w:rsidRDefault="00F6135B" w:rsidP="00D90AD3">
            <w:pPr>
              <w:pStyle w:val="ListParagraph"/>
              <w:numPr>
                <w:ilvl w:val="0"/>
                <w:numId w:val="42"/>
              </w:numPr>
              <w:tabs>
                <w:tab w:val="left" w:pos="4820"/>
              </w:tabs>
              <w:spacing w:after="160" w:line="259" w:lineRule="auto"/>
              <w:rPr>
                <w:rFonts w:eastAsia="Arial MT" w:cs="Arial MT"/>
              </w:rPr>
            </w:pPr>
            <w:r w:rsidRPr="00F6135B">
              <w:rPr>
                <w:rFonts w:eastAsia="Arial MT" w:cs="Arial MT"/>
              </w:rPr>
              <w:t>1 event: 5 points</w:t>
            </w:r>
          </w:p>
          <w:p w14:paraId="1C558DC4" w14:textId="5DB80D23" w:rsidR="56706E1C" w:rsidRPr="00F6135B" w:rsidRDefault="54A12F4D" w:rsidP="00D90AD3">
            <w:pPr>
              <w:pStyle w:val="ListParagraph"/>
              <w:numPr>
                <w:ilvl w:val="0"/>
                <w:numId w:val="42"/>
              </w:numPr>
              <w:tabs>
                <w:tab w:val="left" w:pos="4820"/>
              </w:tabs>
              <w:spacing w:after="160" w:line="259" w:lineRule="auto"/>
              <w:rPr>
                <w:rFonts w:eastAsia="Arial MT" w:cs="Arial MT"/>
              </w:rPr>
            </w:pPr>
            <w:r w:rsidRPr="00F6135B">
              <w:rPr>
                <w:rFonts w:eastAsia="Arial MT" w:cs="Arial MT"/>
              </w:rPr>
              <w:t>0 events: 0 points</w:t>
            </w:r>
          </w:p>
          <w:p w14:paraId="200D44FA" w14:textId="27E20D5C" w:rsidR="2EB00308" w:rsidRPr="008A25E0" w:rsidRDefault="2EB00308" w:rsidP="00F6135B">
            <w:pPr>
              <w:tabs>
                <w:tab w:val="left" w:pos="4820"/>
              </w:tabs>
              <w:spacing w:after="160" w:line="259" w:lineRule="auto"/>
              <w:rPr>
                <w:rFonts w:eastAsia="Calibri Light" w:cs="Calibri Light"/>
                <w:szCs w:val="20"/>
              </w:rPr>
            </w:pPr>
          </w:p>
        </w:tc>
        <w:tc>
          <w:tcPr>
            <w:tcW w:w="2749" w:type="dxa"/>
            <w:vAlign w:val="center"/>
          </w:tcPr>
          <w:p w14:paraId="04F6B2EB" w14:textId="3BAC53A5" w:rsidR="2EB00308" w:rsidRDefault="004246E3" w:rsidP="00DC21B4">
            <w:pPr>
              <w:pStyle w:val="ListParagraph"/>
              <w:spacing w:line="259" w:lineRule="auto"/>
              <w:jc w:val="both"/>
              <w:rPr>
                <w:rFonts w:cs="Calibri Light"/>
              </w:rPr>
            </w:pPr>
            <w:r>
              <w:rPr>
                <w:rFonts w:cs="Calibri Light"/>
              </w:rPr>
              <w:lastRenderedPageBreak/>
              <w:t>15</w:t>
            </w:r>
            <w:r w:rsidR="54A12F4D" w:rsidRPr="02ED53A9">
              <w:rPr>
                <w:rFonts w:cs="Calibri Light"/>
              </w:rPr>
              <w:t xml:space="preserve"> points</w:t>
            </w:r>
          </w:p>
        </w:tc>
      </w:tr>
      <w:tr w:rsidR="00B75473" w14:paraId="6A9938F9" w14:textId="77777777" w:rsidTr="44221130">
        <w:trPr>
          <w:trHeight w:val="140"/>
          <w:jc w:val="center"/>
        </w:trPr>
        <w:tc>
          <w:tcPr>
            <w:tcW w:w="5440" w:type="dxa"/>
            <w:vAlign w:val="center"/>
          </w:tcPr>
          <w:p w14:paraId="2CD676F4" w14:textId="5A041787" w:rsidR="00B75473" w:rsidRPr="00317518" w:rsidRDefault="54E3AD42" w:rsidP="00D90AD3">
            <w:pPr>
              <w:pStyle w:val="ListParagraph"/>
              <w:numPr>
                <w:ilvl w:val="0"/>
                <w:numId w:val="18"/>
              </w:numPr>
              <w:tabs>
                <w:tab w:val="left" w:pos="4820"/>
              </w:tabs>
              <w:spacing w:after="160" w:line="259" w:lineRule="auto"/>
              <w:rPr>
                <w:rFonts w:eastAsia="Arial MT" w:cs="Arial MT"/>
                <w:color w:val="333333"/>
              </w:rPr>
            </w:pPr>
            <w:r w:rsidRPr="2EB00308">
              <w:rPr>
                <w:rFonts w:eastAsia="Arial MT" w:cs="Arial MT"/>
              </w:rPr>
              <w:t xml:space="preserve">Proven experience </w:t>
            </w:r>
            <w:r w:rsidR="3828FA55" w:rsidRPr="2EB00308">
              <w:rPr>
                <w:rFonts w:eastAsia="Arial MT" w:cs="Arial MT"/>
              </w:rPr>
              <w:t>managing an EIT</w:t>
            </w:r>
            <w:r w:rsidR="004246E3">
              <w:rPr>
                <w:rFonts w:eastAsia="Arial MT" w:cs="Arial MT"/>
              </w:rPr>
              <w:t xml:space="preserve"> </w:t>
            </w:r>
            <w:r w:rsidR="3828FA55" w:rsidRPr="2EB00308">
              <w:rPr>
                <w:rFonts w:eastAsia="Arial MT" w:cs="Arial MT"/>
              </w:rPr>
              <w:t>RIS Hub (or equivalent innovation body) in Bulgaria</w:t>
            </w:r>
            <w:r w:rsidR="3AE32DF6" w:rsidRPr="2EB00308">
              <w:rPr>
                <w:rFonts w:eastAsia="Arial MT" w:cs="Arial MT"/>
              </w:rPr>
              <w:t xml:space="preserve"> with involvement of</w:t>
            </w:r>
            <w:r w:rsidRPr="2EB00308">
              <w:rPr>
                <w:rFonts w:eastAsia="Arial MT" w:cs="Arial MT"/>
              </w:rPr>
              <w:t xml:space="preserve"> the proposed expert(s)</w:t>
            </w:r>
            <w:r w:rsidR="3AE32DF6" w:rsidRPr="2EB00308">
              <w:rPr>
                <w:rFonts w:eastAsia="Arial MT" w:cs="Arial MT"/>
              </w:rPr>
              <w:t>.</w:t>
            </w:r>
          </w:p>
          <w:p w14:paraId="2B43CFE3" w14:textId="5EB418CE" w:rsidR="00317518" w:rsidRPr="00240716" w:rsidRDefault="1C6328B8" w:rsidP="426DE8F5">
            <w:pPr>
              <w:tabs>
                <w:tab w:val="left" w:pos="4820"/>
              </w:tabs>
              <w:spacing w:after="160" w:line="259" w:lineRule="auto"/>
              <w:ind w:left="306"/>
              <w:rPr>
                <w:rFonts w:eastAsia="Arial MT" w:cs="Arial MT"/>
                <w:color w:val="333333"/>
              </w:rPr>
            </w:pPr>
            <w:r w:rsidRPr="426DE8F5">
              <w:rPr>
                <w:rFonts w:eastAsia="Arial MT" w:cs="Arial MT"/>
              </w:rPr>
              <w:t xml:space="preserve">The candidate will need to justify the previous or current experience managing an EIT RIS Hub in Bulgaria of the proposed expert(s) by providing at least: </w:t>
            </w:r>
          </w:p>
          <w:p w14:paraId="638AF488" w14:textId="5DD917E5" w:rsidR="00317518" w:rsidRPr="00F6135B" w:rsidRDefault="1C6328B8" w:rsidP="00D90AD3">
            <w:pPr>
              <w:pStyle w:val="ListParagraph"/>
              <w:numPr>
                <w:ilvl w:val="0"/>
                <w:numId w:val="43"/>
              </w:numPr>
              <w:tabs>
                <w:tab w:val="left" w:pos="4820"/>
              </w:tabs>
              <w:spacing w:after="0" w:line="240" w:lineRule="auto"/>
              <w:rPr>
                <w:rFonts w:eastAsia="Arial MT" w:cs="Arial MT"/>
                <w:color w:val="333333"/>
              </w:rPr>
            </w:pPr>
            <w:r w:rsidRPr="426DE8F5">
              <w:rPr>
                <w:rFonts w:eastAsia="Arial MT" w:cs="Arial MT"/>
              </w:rPr>
              <w:t>Name of the EIT KIC (or equivalent innovation body) that was represented.</w:t>
            </w:r>
          </w:p>
          <w:p w14:paraId="700F9C93" w14:textId="198F87C7" w:rsidR="03A6EF66" w:rsidRDefault="03A6EF66" w:rsidP="00D90AD3">
            <w:pPr>
              <w:pStyle w:val="ListParagraph"/>
              <w:numPr>
                <w:ilvl w:val="0"/>
                <w:numId w:val="43"/>
              </w:numPr>
              <w:tabs>
                <w:tab w:val="left" w:pos="4820"/>
              </w:tabs>
              <w:spacing w:after="0" w:line="240" w:lineRule="auto"/>
              <w:rPr>
                <w:rFonts w:eastAsia="Arial MT" w:cs="Arial MT"/>
              </w:rPr>
            </w:pPr>
            <w:r w:rsidRPr="426DE8F5">
              <w:rPr>
                <w:rFonts w:eastAsia="Arial MT" w:cs="Arial MT"/>
              </w:rPr>
              <w:t>Years of operation.</w:t>
            </w:r>
          </w:p>
          <w:p w14:paraId="267FB1CD" w14:textId="7D75B255" w:rsidR="03A6EF66" w:rsidRDefault="03A6EF66" w:rsidP="00D90AD3">
            <w:pPr>
              <w:pStyle w:val="ListParagraph"/>
              <w:numPr>
                <w:ilvl w:val="0"/>
                <w:numId w:val="43"/>
              </w:numPr>
              <w:tabs>
                <w:tab w:val="left" w:pos="4820"/>
              </w:tabs>
              <w:spacing w:after="0" w:line="240" w:lineRule="auto"/>
            </w:pPr>
            <w:r w:rsidRPr="426DE8F5">
              <w:rPr>
                <w:rFonts w:eastAsia="Calibri Light" w:cs="Calibri Light"/>
                <w:szCs w:val="20"/>
              </w:rPr>
              <w:t xml:space="preserve">Link (if online) or any other proof of the award, like a reference letter from the KIC. </w:t>
            </w:r>
            <w:r w:rsidRPr="426DE8F5">
              <w:t xml:space="preserve"> </w:t>
            </w:r>
          </w:p>
          <w:p w14:paraId="558004C5" w14:textId="1CBB3328" w:rsidR="00317518" w:rsidRPr="00F6135B" w:rsidRDefault="00317518" w:rsidP="00D90AD3">
            <w:pPr>
              <w:pStyle w:val="ListParagraph"/>
              <w:numPr>
                <w:ilvl w:val="0"/>
                <w:numId w:val="43"/>
              </w:numPr>
              <w:tabs>
                <w:tab w:val="left" w:pos="4820"/>
              </w:tabs>
              <w:spacing w:after="160" w:line="259" w:lineRule="auto"/>
              <w:rPr>
                <w:rFonts w:eastAsia="Arial MT" w:cs="Arial MT"/>
                <w:color w:val="333333"/>
              </w:rPr>
            </w:pPr>
            <w:r w:rsidRPr="00F6135B">
              <w:rPr>
                <w:rFonts w:eastAsia="Arial MT" w:cs="Arial MT"/>
                <w:color w:val="333333"/>
                <w:szCs w:val="20"/>
              </w:rPr>
              <w:t>Involvement/role of the proposed expert(s) in the representation.</w:t>
            </w:r>
          </w:p>
          <w:p w14:paraId="6221ECF4" w14:textId="489170B8" w:rsidR="00240716" w:rsidRPr="00317518" w:rsidRDefault="00317518" w:rsidP="00F6135B">
            <w:pPr>
              <w:tabs>
                <w:tab w:val="left" w:pos="4820"/>
              </w:tabs>
              <w:spacing w:after="160" w:line="259" w:lineRule="auto"/>
              <w:ind w:left="306"/>
              <w:rPr>
                <w:rFonts w:eastAsia="Arial MT" w:cs="Arial MT"/>
                <w:color w:val="333333"/>
              </w:rPr>
            </w:pPr>
            <w:r w:rsidRPr="00CE7402">
              <w:rPr>
                <w:rFonts w:eastAsia="Arial MT" w:cs="Arial MT"/>
              </w:rPr>
              <w:t>Based on this evidence, the tender will be scored as follows:</w:t>
            </w:r>
            <w:r>
              <w:rPr>
                <w:rFonts w:eastAsia="Arial MT" w:cs="Arial MT"/>
              </w:rPr>
              <w:t xml:space="preserve"> </w:t>
            </w:r>
          </w:p>
          <w:p w14:paraId="518267CF" w14:textId="77777777" w:rsidR="00F6135B" w:rsidRPr="00F6135B" w:rsidRDefault="00F6135B" w:rsidP="00D90AD3">
            <w:pPr>
              <w:pStyle w:val="ListParagraph"/>
              <w:numPr>
                <w:ilvl w:val="0"/>
                <w:numId w:val="44"/>
              </w:numPr>
              <w:tabs>
                <w:tab w:val="left" w:pos="4820"/>
              </w:tabs>
              <w:spacing w:after="160" w:line="259" w:lineRule="auto"/>
              <w:rPr>
                <w:rFonts w:eastAsia="Arial MT" w:cs="Arial MT"/>
                <w:color w:val="333333"/>
                <w:szCs w:val="20"/>
              </w:rPr>
            </w:pPr>
            <w:r w:rsidRPr="00F6135B">
              <w:rPr>
                <w:rFonts w:eastAsia="Arial MT" w:cs="Arial MT"/>
                <w:color w:val="333333"/>
                <w:szCs w:val="20"/>
              </w:rPr>
              <w:t xml:space="preserve">Previous experience documented: 5 points </w:t>
            </w:r>
          </w:p>
          <w:p w14:paraId="5C183363" w14:textId="4896D3A0" w:rsidR="00240716" w:rsidRPr="00F6135B" w:rsidRDefault="00240716" w:rsidP="00D90AD3">
            <w:pPr>
              <w:pStyle w:val="ListParagraph"/>
              <w:numPr>
                <w:ilvl w:val="0"/>
                <w:numId w:val="44"/>
              </w:numPr>
              <w:tabs>
                <w:tab w:val="left" w:pos="4820"/>
              </w:tabs>
              <w:spacing w:after="160" w:line="259" w:lineRule="auto"/>
              <w:rPr>
                <w:rFonts w:eastAsia="Arial MT" w:cs="Arial MT"/>
                <w:color w:val="333333"/>
                <w:szCs w:val="20"/>
              </w:rPr>
            </w:pPr>
            <w:r w:rsidRPr="00F6135B">
              <w:rPr>
                <w:rFonts w:eastAsia="Arial MT" w:cs="Arial MT"/>
                <w:color w:val="333333"/>
                <w:szCs w:val="20"/>
              </w:rPr>
              <w:t>No previous experience documented: 0 points</w:t>
            </w:r>
          </w:p>
          <w:p w14:paraId="0AD06ECF" w14:textId="15DE4692" w:rsidR="00240716" w:rsidRPr="00F6135B" w:rsidRDefault="00240716" w:rsidP="00F6135B">
            <w:pPr>
              <w:tabs>
                <w:tab w:val="left" w:pos="4820"/>
              </w:tabs>
              <w:spacing w:after="160" w:line="259" w:lineRule="auto"/>
              <w:rPr>
                <w:rFonts w:eastAsia="Arial MT" w:cs="Arial MT"/>
                <w:color w:val="333333"/>
                <w:szCs w:val="20"/>
              </w:rPr>
            </w:pPr>
          </w:p>
        </w:tc>
        <w:tc>
          <w:tcPr>
            <w:tcW w:w="2749" w:type="dxa"/>
            <w:vAlign w:val="center"/>
          </w:tcPr>
          <w:p w14:paraId="7937BEA2" w14:textId="1E06CA90" w:rsidR="00B75473" w:rsidRDefault="28C6FC09" w:rsidP="02ED53A9">
            <w:pPr>
              <w:pStyle w:val="ListParagraph"/>
              <w:tabs>
                <w:tab w:val="left" w:pos="4820"/>
              </w:tabs>
              <w:spacing w:after="160" w:line="259" w:lineRule="auto"/>
              <w:jc w:val="both"/>
              <w:rPr>
                <w:rFonts w:cs="Calibri Light"/>
              </w:rPr>
            </w:pPr>
            <w:r w:rsidRPr="02ED53A9">
              <w:rPr>
                <w:rFonts w:cs="Calibri Light"/>
              </w:rPr>
              <w:t>5</w:t>
            </w:r>
            <w:r w:rsidR="0C286AD1" w:rsidRPr="02ED53A9">
              <w:rPr>
                <w:rFonts w:cs="Calibri Light"/>
              </w:rPr>
              <w:t xml:space="preserve"> points</w:t>
            </w:r>
          </w:p>
        </w:tc>
      </w:tr>
      <w:tr w:rsidR="00367BFF" w14:paraId="6B90BA6B" w14:textId="77777777" w:rsidTr="44221130">
        <w:trPr>
          <w:trHeight w:val="140"/>
          <w:jc w:val="center"/>
        </w:trPr>
        <w:tc>
          <w:tcPr>
            <w:tcW w:w="5440" w:type="dxa"/>
            <w:shd w:val="clear" w:color="auto" w:fill="F2F2F2" w:themeFill="background1" w:themeFillShade="F2"/>
            <w:vAlign w:val="center"/>
          </w:tcPr>
          <w:p w14:paraId="6C7B5F13" w14:textId="62F83C3A" w:rsidR="00367BFF" w:rsidRPr="00291020" w:rsidRDefault="39AAC5CB" w:rsidP="02ED53A9">
            <w:pPr>
              <w:pStyle w:val="BodyText"/>
              <w:spacing w:after="0" w:line="242" w:lineRule="exact"/>
              <w:jc w:val="both"/>
              <w:rPr>
                <w:rFonts w:cs="Calibri Light"/>
                <w:b/>
                <w:bCs/>
                <w:color w:val="333333"/>
              </w:rPr>
            </w:pPr>
            <w:r w:rsidRPr="02ED53A9">
              <w:rPr>
                <w:rFonts w:cs="Calibri Light"/>
                <w:b/>
                <w:bCs/>
              </w:rPr>
              <w:t>Activity plan and i</w:t>
            </w:r>
            <w:r w:rsidR="643234D8" w:rsidRPr="02ED53A9">
              <w:rPr>
                <w:rFonts w:cs="Calibri Light"/>
                <w:b/>
                <w:bCs/>
              </w:rPr>
              <w:t>nterview phase</w:t>
            </w:r>
          </w:p>
        </w:tc>
        <w:tc>
          <w:tcPr>
            <w:tcW w:w="2749" w:type="dxa"/>
            <w:shd w:val="clear" w:color="auto" w:fill="F2F2F2" w:themeFill="background1" w:themeFillShade="F2"/>
            <w:vAlign w:val="center"/>
          </w:tcPr>
          <w:p w14:paraId="53FB524A" w14:textId="25FC626C" w:rsidR="00367BFF" w:rsidRPr="00291020" w:rsidRDefault="643234D8" w:rsidP="02ED53A9">
            <w:pPr>
              <w:pStyle w:val="BodyText"/>
              <w:spacing w:after="0" w:line="242" w:lineRule="exact"/>
              <w:jc w:val="center"/>
              <w:rPr>
                <w:rFonts w:cs="Calibri Light"/>
                <w:b/>
                <w:bCs/>
                <w:color w:val="333333"/>
              </w:rPr>
            </w:pPr>
            <w:r w:rsidRPr="02ED53A9">
              <w:rPr>
                <w:rFonts w:cs="Calibri Light"/>
                <w:b/>
                <w:bCs/>
              </w:rPr>
              <w:t xml:space="preserve">Max </w:t>
            </w:r>
            <w:r w:rsidR="004246E3">
              <w:rPr>
                <w:rFonts w:cs="Calibri Light"/>
                <w:b/>
                <w:bCs/>
              </w:rPr>
              <w:t>5</w:t>
            </w:r>
            <w:r w:rsidR="008417BB">
              <w:rPr>
                <w:rFonts w:cs="Calibri Light"/>
                <w:b/>
                <w:bCs/>
              </w:rPr>
              <w:t>9</w:t>
            </w:r>
            <w:r w:rsidRPr="02ED53A9">
              <w:rPr>
                <w:rFonts w:cs="Calibri Light"/>
                <w:b/>
                <w:bCs/>
              </w:rPr>
              <w:t xml:space="preserve"> points</w:t>
            </w:r>
          </w:p>
        </w:tc>
      </w:tr>
      <w:tr w:rsidR="00C55A32" w14:paraId="1022C42A" w14:textId="77777777" w:rsidTr="44221130">
        <w:trPr>
          <w:trHeight w:val="140"/>
          <w:jc w:val="center"/>
        </w:trPr>
        <w:tc>
          <w:tcPr>
            <w:tcW w:w="5440" w:type="dxa"/>
            <w:shd w:val="clear" w:color="auto" w:fill="FFFFFF" w:themeFill="background1"/>
            <w:vAlign w:val="center"/>
          </w:tcPr>
          <w:p w14:paraId="62FB93DA" w14:textId="5F82F6A1" w:rsidR="00C55A32" w:rsidRDefault="002E03A7" w:rsidP="00D90AD3">
            <w:pPr>
              <w:pStyle w:val="ListParagraph"/>
              <w:numPr>
                <w:ilvl w:val="0"/>
                <w:numId w:val="18"/>
              </w:numPr>
              <w:spacing w:before="120" w:after="120" w:line="240" w:lineRule="auto"/>
              <w:jc w:val="both"/>
              <w:rPr>
                <w:rFonts w:cs="Calibri Light"/>
                <w:color w:val="auto"/>
              </w:rPr>
            </w:pPr>
            <w:r w:rsidRPr="002E03A7">
              <w:rPr>
                <w:rFonts w:cs="Calibri Light"/>
                <w:color w:val="auto"/>
              </w:rPr>
              <w:t>For all the Key Performance Indicators</w:t>
            </w:r>
            <w:r>
              <w:rPr>
                <w:rFonts w:cs="Calibri Light"/>
                <w:color w:val="auto"/>
              </w:rPr>
              <w:t xml:space="preserve"> (KPI´s)</w:t>
            </w:r>
            <w:r w:rsidRPr="002E03A7">
              <w:rPr>
                <w:rFonts w:cs="Calibri Light"/>
                <w:color w:val="auto"/>
              </w:rPr>
              <w:t xml:space="preserve"> outlined in the Performance Monitoring and Evaluation Guidelines (Annex 5), indicate the number of strands addressed in the Activity Plan, as specified in Section 3.2</w:t>
            </w:r>
            <w:r w:rsidR="7FA29C23" w:rsidRPr="63DC4369">
              <w:rPr>
                <w:rFonts w:cs="Calibri Light"/>
                <w:color w:val="auto"/>
              </w:rPr>
              <w:t xml:space="preserve">: </w:t>
            </w:r>
          </w:p>
          <w:p w14:paraId="315FDB8D" w14:textId="77777777" w:rsidR="00CE7402" w:rsidRDefault="00CE7402" w:rsidP="00CE7402">
            <w:pPr>
              <w:pStyle w:val="ListParagraph"/>
              <w:spacing w:before="120" w:after="120" w:line="240" w:lineRule="auto"/>
              <w:jc w:val="both"/>
              <w:rPr>
                <w:rFonts w:cs="Calibri Light"/>
                <w:color w:val="auto"/>
              </w:rPr>
            </w:pPr>
          </w:p>
          <w:p w14:paraId="6E92FA91" w14:textId="77777777" w:rsidR="00F6135B" w:rsidRPr="00F6135B" w:rsidRDefault="00F6135B" w:rsidP="00D90AD3">
            <w:pPr>
              <w:pStyle w:val="ListParagraph"/>
              <w:numPr>
                <w:ilvl w:val="0"/>
                <w:numId w:val="45"/>
              </w:numPr>
              <w:spacing w:before="120" w:after="120" w:line="240" w:lineRule="auto"/>
              <w:jc w:val="both"/>
              <w:rPr>
                <w:rFonts w:cs="Calibri Light"/>
                <w:color w:val="auto"/>
              </w:rPr>
            </w:pPr>
            <w:r w:rsidRPr="00F6135B">
              <w:rPr>
                <w:rFonts w:cs="Calibri Light"/>
                <w:color w:val="auto"/>
              </w:rPr>
              <w:t>More than 10 strands: 10 points</w:t>
            </w:r>
          </w:p>
          <w:p w14:paraId="325C1A4E" w14:textId="77777777" w:rsidR="00F6135B" w:rsidRPr="00F6135B" w:rsidRDefault="00F6135B" w:rsidP="00D90AD3">
            <w:pPr>
              <w:pStyle w:val="ListParagraph"/>
              <w:numPr>
                <w:ilvl w:val="0"/>
                <w:numId w:val="45"/>
              </w:numPr>
              <w:spacing w:before="120" w:after="120" w:line="240" w:lineRule="auto"/>
              <w:jc w:val="both"/>
              <w:rPr>
                <w:rFonts w:cs="Calibri Light"/>
                <w:color w:val="auto"/>
              </w:rPr>
            </w:pPr>
            <w:r w:rsidRPr="00F6135B">
              <w:rPr>
                <w:rFonts w:cs="Calibri Light"/>
                <w:color w:val="auto"/>
              </w:rPr>
              <w:t>6 to 10 strands: 5 points</w:t>
            </w:r>
          </w:p>
          <w:p w14:paraId="6863FA6B" w14:textId="77777777" w:rsidR="00C55A32" w:rsidRPr="00F6135B" w:rsidRDefault="00C55A32" w:rsidP="00D90AD3">
            <w:pPr>
              <w:pStyle w:val="ListParagraph"/>
              <w:numPr>
                <w:ilvl w:val="0"/>
                <w:numId w:val="45"/>
              </w:numPr>
              <w:spacing w:before="120" w:after="120" w:line="240" w:lineRule="auto"/>
              <w:jc w:val="both"/>
              <w:rPr>
                <w:rFonts w:cs="Calibri Light"/>
                <w:color w:val="auto"/>
              </w:rPr>
            </w:pPr>
            <w:r w:rsidRPr="00F6135B">
              <w:rPr>
                <w:rFonts w:cs="Calibri Light"/>
                <w:color w:val="auto"/>
              </w:rPr>
              <w:t>5 or less strands: 0 points</w:t>
            </w:r>
          </w:p>
          <w:p w14:paraId="71A06BBC" w14:textId="77777777" w:rsidR="00C55A32" w:rsidRPr="00C55A32" w:rsidRDefault="00C55A32" w:rsidP="00F6135B">
            <w:pPr>
              <w:spacing w:before="120" w:after="120" w:line="240" w:lineRule="auto"/>
              <w:jc w:val="both"/>
              <w:rPr>
                <w:rFonts w:cs="Calibri Light"/>
                <w:color w:val="auto"/>
              </w:rPr>
            </w:pPr>
          </w:p>
        </w:tc>
        <w:tc>
          <w:tcPr>
            <w:tcW w:w="2749" w:type="dxa"/>
            <w:shd w:val="clear" w:color="auto" w:fill="FFFFFF" w:themeFill="background1"/>
            <w:vAlign w:val="center"/>
          </w:tcPr>
          <w:p w14:paraId="325208A7" w14:textId="2029CE7E" w:rsidR="00C55A32" w:rsidRPr="00C55A32" w:rsidRDefault="00C55A32" w:rsidP="00C55A32">
            <w:pPr>
              <w:pStyle w:val="BodyText"/>
              <w:spacing w:after="0" w:line="242" w:lineRule="exact"/>
              <w:jc w:val="center"/>
              <w:rPr>
                <w:rFonts w:cs="Calibri Light"/>
                <w:color w:val="auto"/>
              </w:rPr>
            </w:pPr>
            <w:r w:rsidRPr="00C55A32">
              <w:rPr>
                <w:rFonts w:cs="Calibri Light"/>
                <w:color w:val="auto"/>
              </w:rPr>
              <w:t xml:space="preserve">  10 points</w:t>
            </w:r>
          </w:p>
        </w:tc>
      </w:tr>
      <w:tr w:rsidR="008417BB" w14:paraId="39594D85" w14:textId="77777777" w:rsidTr="44221130">
        <w:trPr>
          <w:trHeight w:val="140"/>
          <w:jc w:val="center"/>
        </w:trPr>
        <w:tc>
          <w:tcPr>
            <w:tcW w:w="5440" w:type="dxa"/>
            <w:shd w:val="clear" w:color="auto" w:fill="FFFFFF" w:themeFill="background1"/>
            <w:vAlign w:val="center"/>
          </w:tcPr>
          <w:p w14:paraId="1A3C0C4E" w14:textId="4C19F130" w:rsidR="008417BB" w:rsidRDefault="008417BB" w:rsidP="00D90AD3">
            <w:pPr>
              <w:pStyle w:val="ListParagraph"/>
              <w:numPr>
                <w:ilvl w:val="0"/>
                <w:numId w:val="18"/>
              </w:numPr>
              <w:spacing w:before="120" w:after="120" w:line="240" w:lineRule="auto"/>
              <w:jc w:val="both"/>
              <w:rPr>
                <w:rFonts w:cs="Calibri Light"/>
                <w:color w:val="auto"/>
              </w:rPr>
            </w:pPr>
            <w:r>
              <w:rPr>
                <w:rFonts w:cs="Calibri Light"/>
                <w:color w:val="auto"/>
              </w:rPr>
              <w:t xml:space="preserve">Number of optional activities included in the activity plan, based on the Guide (annex </w:t>
            </w:r>
            <w:r w:rsidR="00CE7402">
              <w:rPr>
                <w:rFonts w:cs="Calibri Light"/>
                <w:color w:val="auto"/>
              </w:rPr>
              <w:t>5</w:t>
            </w:r>
            <w:r>
              <w:rPr>
                <w:rFonts w:cs="Calibri Light"/>
                <w:color w:val="auto"/>
              </w:rPr>
              <w:t>):</w:t>
            </w:r>
          </w:p>
          <w:p w14:paraId="5046584D" w14:textId="77777777" w:rsidR="00CE7402" w:rsidRDefault="00CE7402" w:rsidP="00CE7402">
            <w:pPr>
              <w:pStyle w:val="ListParagraph"/>
              <w:spacing w:before="120" w:after="120" w:line="240" w:lineRule="auto"/>
              <w:jc w:val="both"/>
              <w:rPr>
                <w:rFonts w:cs="Calibri Light"/>
                <w:color w:val="auto"/>
              </w:rPr>
            </w:pPr>
          </w:p>
          <w:p w14:paraId="3082AF39" w14:textId="77777777" w:rsidR="009617E5" w:rsidRPr="009617E5" w:rsidRDefault="009617E5" w:rsidP="00D90AD3">
            <w:pPr>
              <w:pStyle w:val="ListParagraph"/>
              <w:numPr>
                <w:ilvl w:val="0"/>
                <w:numId w:val="46"/>
              </w:numPr>
              <w:spacing w:before="120" w:after="120" w:line="240" w:lineRule="auto"/>
              <w:jc w:val="both"/>
              <w:rPr>
                <w:rFonts w:cs="Calibri Light"/>
                <w:color w:val="auto"/>
              </w:rPr>
            </w:pPr>
            <w:r w:rsidRPr="009617E5">
              <w:rPr>
                <w:rFonts w:cs="Calibri Light"/>
                <w:color w:val="auto"/>
              </w:rPr>
              <w:t xml:space="preserve">19 or more optional activities: 9 points </w:t>
            </w:r>
          </w:p>
          <w:p w14:paraId="225E2531" w14:textId="38B58506" w:rsidR="009617E5" w:rsidRPr="009617E5" w:rsidRDefault="009617E5" w:rsidP="00D90AD3">
            <w:pPr>
              <w:pStyle w:val="ListParagraph"/>
              <w:numPr>
                <w:ilvl w:val="0"/>
                <w:numId w:val="46"/>
              </w:numPr>
              <w:spacing w:before="120" w:after="120" w:line="240" w:lineRule="auto"/>
              <w:jc w:val="both"/>
              <w:rPr>
                <w:rFonts w:cs="Calibri Light"/>
                <w:color w:val="auto"/>
              </w:rPr>
            </w:pPr>
            <w:r w:rsidRPr="009617E5">
              <w:rPr>
                <w:rFonts w:cs="Calibri Light"/>
                <w:color w:val="auto"/>
              </w:rPr>
              <w:t xml:space="preserve">10 </w:t>
            </w:r>
            <w:r>
              <w:rPr>
                <w:rFonts w:cs="Calibri Light"/>
                <w:color w:val="auto"/>
              </w:rPr>
              <w:t>-</w:t>
            </w:r>
            <w:r w:rsidRPr="009617E5">
              <w:rPr>
                <w:rFonts w:cs="Calibri Light"/>
                <w:color w:val="auto"/>
              </w:rPr>
              <w:t xml:space="preserve"> 18 optional activities: 6 points</w:t>
            </w:r>
          </w:p>
          <w:p w14:paraId="6EA072EC" w14:textId="3A71589D" w:rsidR="009617E5" w:rsidRPr="009617E5" w:rsidRDefault="009617E5" w:rsidP="00D90AD3">
            <w:pPr>
              <w:pStyle w:val="ListParagraph"/>
              <w:numPr>
                <w:ilvl w:val="0"/>
                <w:numId w:val="46"/>
              </w:numPr>
              <w:spacing w:before="120" w:after="120" w:line="240" w:lineRule="auto"/>
              <w:jc w:val="both"/>
              <w:rPr>
                <w:rFonts w:cs="Calibri Light"/>
                <w:color w:val="auto"/>
              </w:rPr>
            </w:pPr>
            <w:r w:rsidRPr="009617E5">
              <w:rPr>
                <w:rFonts w:cs="Calibri Light"/>
                <w:color w:val="auto"/>
              </w:rPr>
              <w:t xml:space="preserve">1 </w:t>
            </w:r>
            <w:r>
              <w:rPr>
                <w:rFonts w:cs="Calibri Light"/>
                <w:color w:val="auto"/>
              </w:rPr>
              <w:t>-</w:t>
            </w:r>
            <w:r w:rsidRPr="009617E5">
              <w:rPr>
                <w:rFonts w:cs="Calibri Light"/>
                <w:color w:val="auto"/>
              </w:rPr>
              <w:t xml:space="preserve"> 9 optional activities: 3 points</w:t>
            </w:r>
          </w:p>
          <w:p w14:paraId="602733C3" w14:textId="77777777" w:rsidR="008417BB" w:rsidRPr="009617E5" w:rsidRDefault="008417BB" w:rsidP="00D90AD3">
            <w:pPr>
              <w:pStyle w:val="ListParagraph"/>
              <w:numPr>
                <w:ilvl w:val="0"/>
                <w:numId w:val="46"/>
              </w:numPr>
              <w:spacing w:before="120" w:after="120" w:line="240" w:lineRule="auto"/>
              <w:jc w:val="both"/>
              <w:rPr>
                <w:rFonts w:cs="Calibri Light"/>
                <w:color w:val="auto"/>
              </w:rPr>
            </w:pPr>
            <w:r w:rsidRPr="009617E5">
              <w:rPr>
                <w:rFonts w:cs="Calibri Light"/>
                <w:color w:val="auto"/>
              </w:rPr>
              <w:t>0 optional activities chosen: 0 points</w:t>
            </w:r>
          </w:p>
          <w:p w14:paraId="46A6D6F8" w14:textId="2B9FD217" w:rsidR="008417BB" w:rsidRPr="009617E5" w:rsidRDefault="008417BB" w:rsidP="009617E5">
            <w:pPr>
              <w:spacing w:before="120" w:after="120" w:line="240" w:lineRule="auto"/>
              <w:jc w:val="both"/>
              <w:rPr>
                <w:rFonts w:cs="Calibri Light"/>
                <w:color w:val="auto"/>
              </w:rPr>
            </w:pPr>
          </w:p>
        </w:tc>
        <w:tc>
          <w:tcPr>
            <w:tcW w:w="2749" w:type="dxa"/>
            <w:shd w:val="clear" w:color="auto" w:fill="FFFFFF" w:themeFill="background1"/>
            <w:vAlign w:val="center"/>
          </w:tcPr>
          <w:p w14:paraId="0991CC5A" w14:textId="63036857" w:rsidR="008417BB" w:rsidRPr="00C55A32" w:rsidRDefault="008417BB" w:rsidP="00C55A32">
            <w:pPr>
              <w:pStyle w:val="BodyText"/>
              <w:spacing w:after="0" w:line="242" w:lineRule="exact"/>
              <w:jc w:val="center"/>
              <w:rPr>
                <w:rFonts w:cs="Calibri Light"/>
                <w:color w:val="auto"/>
              </w:rPr>
            </w:pPr>
            <w:r>
              <w:rPr>
                <w:rFonts w:cs="Calibri Light"/>
                <w:color w:val="auto"/>
              </w:rPr>
              <w:t>9 points</w:t>
            </w:r>
          </w:p>
        </w:tc>
      </w:tr>
      <w:tr w:rsidR="00C55A32" w14:paraId="26363CD7" w14:textId="77777777" w:rsidTr="44221130">
        <w:trPr>
          <w:trHeight w:val="140"/>
          <w:jc w:val="center"/>
        </w:trPr>
        <w:tc>
          <w:tcPr>
            <w:tcW w:w="5440" w:type="dxa"/>
            <w:vAlign w:val="center"/>
          </w:tcPr>
          <w:p w14:paraId="23F9A228" w14:textId="3744D0E6" w:rsidR="00C55A32" w:rsidRPr="000D4F17" w:rsidRDefault="00C55A32" w:rsidP="00D90AD3">
            <w:pPr>
              <w:pStyle w:val="ListParagraph"/>
              <w:numPr>
                <w:ilvl w:val="0"/>
                <w:numId w:val="18"/>
              </w:numPr>
              <w:spacing w:before="120" w:after="120" w:line="240" w:lineRule="auto"/>
              <w:jc w:val="both"/>
              <w:rPr>
                <w:rFonts w:cs="Calibri Light"/>
                <w:b/>
                <w:bCs/>
                <w:color w:val="333333"/>
              </w:rPr>
            </w:pPr>
            <w:r w:rsidRPr="03E69CEB">
              <w:rPr>
                <w:rFonts w:cs="Calibri Light"/>
              </w:rPr>
              <w:lastRenderedPageBreak/>
              <w:t>Feasibility of the tenderer ‘s activity plan, overall methodology and scope of work.</w:t>
            </w:r>
          </w:p>
        </w:tc>
        <w:tc>
          <w:tcPr>
            <w:tcW w:w="2749" w:type="dxa"/>
            <w:vAlign w:val="center"/>
          </w:tcPr>
          <w:p w14:paraId="3ACEAFAC" w14:textId="5045690D" w:rsidR="00C55A32" w:rsidRPr="00C1741E" w:rsidRDefault="00C55A32" w:rsidP="00C55A32">
            <w:pPr>
              <w:tabs>
                <w:tab w:val="left" w:pos="4820"/>
              </w:tabs>
              <w:jc w:val="center"/>
              <w:rPr>
                <w:rFonts w:cs="Calibri Light"/>
              </w:rPr>
            </w:pPr>
            <w:r w:rsidRPr="00C1741E">
              <w:rPr>
                <w:rFonts w:cs="Calibri Light"/>
              </w:rPr>
              <w:t>10 points</w:t>
            </w:r>
          </w:p>
        </w:tc>
      </w:tr>
      <w:tr w:rsidR="00C55A32" w14:paraId="22A45E23" w14:textId="77777777" w:rsidTr="44221130">
        <w:trPr>
          <w:trHeight w:val="140"/>
          <w:jc w:val="center"/>
        </w:trPr>
        <w:tc>
          <w:tcPr>
            <w:tcW w:w="5440" w:type="dxa"/>
            <w:vAlign w:val="center"/>
          </w:tcPr>
          <w:p w14:paraId="3ED54EA9" w14:textId="660EDB19" w:rsidR="00C55A32" w:rsidRPr="000D4F17" w:rsidRDefault="00C55A32" w:rsidP="00D90AD3">
            <w:pPr>
              <w:pStyle w:val="ListParagraph"/>
              <w:numPr>
                <w:ilvl w:val="0"/>
                <w:numId w:val="18"/>
              </w:numPr>
              <w:spacing w:before="120" w:after="120" w:line="240" w:lineRule="auto"/>
              <w:jc w:val="both"/>
              <w:rPr>
                <w:rFonts w:cs="Calibri Light"/>
                <w:b/>
                <w:bCs/>
                <w:color w:val="333333"/>
              </w:rPr>
            </w:pPr>
            <w:r w:rsidRPr="02ED53A9">
              <w:rPr>
                <w:rFonts w:cs="Calibri Light"/>
                <w:color w:val="auto"/>
              </w:rPr>
              <w:t xml:space="preserve">Content of the activity plan, detailed description, attention to details of the submitted proposal. </w:t>
            </w:r>
            <w:r w:rsidRPr="02ED53A9">
              <w:rPr>
                <w:rFonts w:cs="Calibri Light"/>
              </w:rPr>
              <w:t>Quality of the offer and organization of the proposed expert(s)’ services and resources.</w:t>
            </w:r>
          </w:p>
        </w:tc>
        <w:tc>
          <w:tcPr>
            <w:tcW w:w="2749" w:type="dxa"/>
            <w:vAlign w:val="center"/>
          </w:tcPr>
          <w:p w14:paraId="18377586" w14:textId="43A4AABA" w:rsidR="00C55A32" w:rsidRPr="00C1741E" w:rsidRDefault="00C55A32" w:rsidP="00C55A32">
            <w:pPr>
              <w:tabs>
                <w:tab w:val="left" w:pos="4820"/>
              </w:tabs>
              <w:jc w:val="center"/>
              <w:rPr>
                <w:rFonts w:cs="Calibri Light"/>
              </w:rPr>
            </w:pPr>
            <w:r w:rsidRPr="00C1741E">
              <w:rPr>
                <w:rFonts w:cs="Calibri Light"/>
              </w:rPr>
              <w:t>10 points</w:t>
            </w:r>
          </w:p>
        </w:tc>
      </w:tr>
      <w:tr w:rsidR="00C55A32" w14:paraId="19D51CF7" w14:textId="77777777" w:rsidTr="44221130">
        <w:trPr>
          <w:trHeight w:val="140"/>
          <w:jc w:val="center"/>
        </w:trPr>
        <w:tc>
          <w:tcPr>
            <w:tcW w:w="5440" w:type="dxa"/>
            <w:vAlign w:val="center"/>
          </w:tcPr>
          <w:p w14:paraId="1058E499" w14:textId="2388960B" w:rsidR="00C55A32" w:rsidRPr="00291020" w:rsidRDefault="00C55A32" w:rsidP="00D90AD3">
            <w:pPr>
              <w:pStyle w:val="ListParagraph"/>
              <w:numPr>
                <w:ilvl w:val="0"/>
                <w:numId w:val="18"/>
              </w:numPr>
              <w:suppressAutoHyphens/>
              <w:autoSpaceDN w:val="0"/>
              <w:spacing w:after="0" w:line="240" w:lineRule="atLeast"/>
              <w:jc w:val="both"/>
              <w:rPr>
                <w:rFonts w:cs="Calibri Light"/>
              </w:rPr>
            </w:pPr>
            <w:r w:rsidRPr="2EB00308">
              <w:rPr>
                <w:rFonts w:cs="Calibri Light"/>
                <w:color w:val="auto"/>
              </w:rPr>
              <w:t>Proposed expert identified the main gaps</w:t>
            </w:r>
            <w:r>
              <w:rPr>
                <w:rFonts w:cs="Calibri Light"/>
                <w:color w:val="auto"/>
              </w:rPr>
              <w:t>/challenges</w:t>
            </w:r>
            <w:r>
              <w:br/>
            </w:r>
            <w:r w:rsidRPr="2EB00308">
              <w:rPr>
                <w:rFonts w:cs="Calibri Light"/>
                <w:color w:val="auto"/>
              </w:rPr>
              <w:t xml:space="preserve"> in the local innovation ecosystem and prioritised them accordingly</w:t>
            </w:r>
          </w:p>
          <w:p w14:paraId="3D468684" w14:textId="7D7EA70B" w:rsidR="00C55A32" w:rsidRPr="001061C8" w:rsidRDefault="7FA29C23" w:rsidP="00C1741E">
            <w:pPr>
              <w:spacing w:after="0" w:line="240" w:lineRule="atLeast"/>
              <w:ind w:left="306"/>
              <w:jc w:val="both"/>
              <w:rPr>
                <w:rFonts w:cs="Calibri Light"/>
              </w:rPr>
            </w:pPr>
            <w:r w:rsidRPr="001061C8">
              <w:rPr>
                <w:rFonts w:cs="Calibri Light"/>
              </w:rPr>
              <w:t>Number of gaps identified and prioritised:</w:t>
            </w:r>
          </w:p>
          <w:p w14:paraId="53DE096A" w14:textId="77777777" w:rsidR="001061C8" w:rsidRPr="00C1741E" w:rsidRDefault="001061C8" w:rsidP="00D90AD3">
            <w:pPr>
              <w:pStyle w:val="ListParagraph"/>
              <w:numPr>
                <w:ilvl w:val="0"/>
                <w:numId w:val="47"/>
              </w:numPr>
              <w:spacing w:after="0" w:line="240" w:lineRule="atLeast"/>
              <w:jc w:val="both"/>
              <w:rPr>
                <w:rFonts w:cs="Calibri Light"/>
              </w:rPr>
            </w:pPr>
            <w:r>
              <w:t>5 gaps/challenges: 10 points</w:t>
            </w:r>
            <w:r w:rsidRPr="00C1741E">
              <w:rPr>
                <w:rFonts w:cs="Calibri Light"/>
              </w:rPr>
              <w:t xml:space="preserve"> </w:t>
            </w:r>
          </w:p>
          <w:p w14:paraId="78963BD6" w14:textId="66852694" w:rsidR="001061C8" w:rsidRPr="00C1741E" w:rsidRDefault="00C1741E" w:rsidP="00D90AD3">
            <w:pPr>
              <w:pStyle w:val="ListParagraph"/>
              <w:numPr>
                <w:ilvl w:val="0"/>
                <w:numId w:val="47"/>
              </w:numPr>
              <w:spacing w:after="0" w:line="240" w:lineRule="atLeast"/>
              <w:jc w:val="both"/>
              <w:rPr>
                <w:rFonts w:cs="Calibri Light"/>
                <w:color w:val="333333"/>
              </w:rPr>
            </w:pPr>
            <w:r>
              <w:rPr>
                <w:rFonts w:cs="Calibri Light"/>
              </w:rPr>
              <w:t xml:space="preserve">4 </w:t>
            </w:r>
            <w:r w:rsidR="001061C8" w:rsidRPr="00C1741E">
              <w:rPr>
                <w:rFonts w:cs="Calibri Light"/>
              </w:rPr>
              <w:t>gaps/challenges: 8 points</w:t>
            </w:r>
          </w:p>
          <w:p w14:paraId="1A593E3D" w14:textId="5157D7C5" w:rsidR="001061C8" w:rsidRPr="00C1741E" w:rsidRDefault="00C1741E" w:rsidP="00D90AD3">
            <w:pPr>
              <w:pStyle w:val="ListParagraph"/>
              <w:numPr>
                <w:ilvl w:val="0"/>
                <w:numId w:val="47"/>
              </w:numPr>
              <w:spacing w:after="0" w:line="240" w:lineRule="atLeast"/>
              <w:jc w:val="both"/>
              <w:rPr>
                <w:rFonts w:cs="Calibri Light"/>
              </w:rPr>
            </w:pPr>
            <w:r>
              <w:rPr>
                <w:rFonts w:cs="Calibri Light"/>
              </w:rPr>
              <w:t xml:space="preserve">3 </w:t>
            </w:r>
            <w:r w:rsidR="001061C8" w:rsidRPr="00C1741E">
              <w:rPr>
                <w:rFonts w:cs="Calibri Light"/>
              </w:rPr>
              <w:t xml:space="preserve">gaps/challenges: 6 points </w:t>
            </w:r>
          </w:p>
          <w:p w14:paraId="0B44E7D0" w14:textId="77777777" w:rsidR="00C1741E" w:rsidRPr="00C1741E" w:rsidRDefault="00C1741E" w:rsidP="00D90AD3">
            <w:pPr>
              <w:pStyle w:val="ListParagraph"/>
              <w:numPr>
                <w:ilvl w:val="0"/>
                <w:numId w:val="47"/>
              </w:numPr>
              <w:spacing w:after="0" w:line="240" w:lineRule="atLeast"/>
              <w:jc w:val="both"/>
              <w:rPr>
                <w:rFonts w:cs="Calibri Light"/>
                <w:lang w:val="fr-FR"/>
              </w:rPr>
            </w:pPr>
            <w:r w:rsidRPr="00C1741E">
              <w:rPr>
                <w:rFonts w:cs="Calibri Light"/>
                <w:lang w:val="fr-FR"/>
              </w:rPr>
              <w:t>2 gaps/chalenges : 4 points</w:t>
            </w:r>
          </w:p>
          <w:p w14:paraId="55A353FD" w14:textId="2C8632F6" w:rsidR="00C55A32" w:rsidRPr="00C1741E" w:rsidRDefault="7FA29C23" w:rsidP="00D90AD3">
            <w:pPr>
              <w:pStyle w:val="ListParagraph"/>
              <w:numPr>
                <w:ilvl w:val="0"/>
                <w:numId w:val="47"/>
              </w:numPr>
              <w:spacing w:after="0" w:line="240" w:lineRule="atLeast"/>
              <w:jc w:val="both"/>
              <w:rPr>
                <w:rFonts w:cs="Calibri Light"/>
              </w:rPr>
            </w:pPr>
            <w:r w:rsidRPr="00C1741E">
              <w:rPr>
                <w:rFonts w:cs="Calibri Light"/>
              </w:rPr>
              <w:t>1 gap/challenge: 2 points</w:t>
            </w:r>
          </w:p>
          <w:p w14:paraId="28237C6D" w14:textId="4890CA8A" w:rsidR="00C55A32" w:rsidRPr="00731B1C" w:rsidRDefault="00C55A32" w:rsidP="001061C8">
            <w:pPr>
              <w:spacing w:after="0" w:line="240" w:lineRule="atLeast"/>
              <w:jc w:val="both"/>
              <w:rPr>
                <w:rFonts w:cs="Calibri Light"/>
              </w:rPr>
            </w:pPr>
          </w:p>
          <w:p w14:paraId="43D33C23" w14:textId="1B298855" w:rsidR="00C55A32" w:rsidRPr="00731B1C" w:rsidRDefault="00C55A32" w:rsidP="001061C8">
            <w:pPr>
              <w:spacing w:after="0" w:line="240" w:lineRule="atLeast"/>
              <w:jc w:val="both"/>
            </w:pPr>
          </w:p>
        </w:tc>
        <w:tc>
          <w:tcPr>
            <w:tcW w:w="2749" w:type="dxa"/>
            <w:vAlign w:val="center"/>
          </w:tcPr>
          <w:p w14:paraId="19B6EDFF" w14:textId="37BB430F" w:rsidR="00C55A32" w:rsidRPr="00C1741E" w:rsidRDefault="00C55A32" w:rsidP="00C55A32">
            <w:pPr>
              <w:pStyle w:val="ListParagraph"/>
              <w:tabs>
                <w:tab w:val="left" w:pos="4820"/>
              </w:tabs>
              <w:rPr>
                <w:rFonts w:cs="Calibri Light"/>
                <w:szCs w:val="20"/>
              </w:rPr>
            </w:pPr>
            <w:r w:rsidRPr="00C1741E">
              <w:rPr>
                <w:rFonts w:cs="Calibri Light"/>
              </w:rPr>
              <w:t xml:space="preserve">  10 points</w:t>
            </w:r>
          </w:p>
        </w:tc>
      </w:tr>
      <w:tr w:rsidR="00C55A32" w:rsidRPr="00501FE2" w14:paraId="40832C8E" w14:textId="77777777" w:rsidTr="44221130">
        <w:trPr>
          <w:trHeight w:val="140"/>
          <w:jc w:val="center"/>
        </w:trPr>
        <w:tc>
          <w:tcPr>
            <w:tcW w:w="5440" w:type="dxa"/>
            <w:tcBorders>
              <w:top w:val="single" w:sz="4" w:space="0" w:color="auto"/>
              <w:left w:val="single" w:sz="4" w:space="0" w:color="auto"/>
              <w:bottom w:val="single" w:sz="4" w:space="0" w:color="auto"/>
              <w:right w:val="single" w:sz="4" w:space="0" w:color="auto"/>
            </w:tcBorders>
            <w:vAlign w:val="center"/>
          </w:tcPr>
          <w:p w14:paraId="5ADBD474" w14:textId="0618BC29" w:rsidR="00C55A32" w:rsidRPr="000B3B05" w:rsidRDefault="00C55A32" w:rsidP="00D90AD3">
            <w:pPr>
              <w:pStyle w:val="ListParagraph"/>
              <w:numPr>
                <w:ilvl w:val="0"/>
                <w:numId w:val="18"/>
              </w:numPr>
              <w:suppressAutoHyphens/>
              <w:autoSpaceDN w:val="0"/>
              <w:spacing w:before="120" w:after="120" w:line="240" w:lineRule="auto"/>
              <w:jc w:val="both"/>
              <w:rPr>
                <w:rFonts w:cs="Calibri Light"/>
              </w:rPr>
            </w:pPr>
            <w:r w:rsidRPr="02ED53A9">
              <w:rPr>
                <w:rFonts w:cs="Calibri Light"/>
              </w:rPr>
              <w:t xml:space="preserve">How easily and clearly can the proposed expert express </w:t>
            </w:r>
            <w:r w:rsidR="00C1741E">
              <w:rPr>
                <w:rFonts w:cs="Calibri Light"/>
              </w:rPr>
              <w:t>themself</w:t>
            </w:r>
            <w:r w:rsidRPr="02ED53A9">
              <w:rPr>
                <w:rFonts w:cs="Calibri Light"/>
              </w:rPr>
              <w:t xml:space="preserve"> in English.</w:t>
            </w:r>
          </w:p>
        </w:tc>
        <w:tc>
          <w:tcPr>
            <w:tcW w:w="2749" w:type="dxa"/>
            <w:tcBorders>
              <w:top w:val="single" w:sz="4" w:space="0" w:color="auto"/>
              <w:left w:val="single" w:sz="4" w:space="0" w:color="auto"/>
              <w:bottom w:val="single" w:sz="4" w:space="0" w:color="auto"/>
              <w:right w:val="single" w:sz="4" w:space="0" w:color="auto"/>
            </w:tcBorders>
            <w:vAlign w:val="center"/>
          </w:tcPr>
          <w:p w14:paraId="3E72430D" w14:textId="10AEDFFE" w:rsidR="00C55A32" w:rsidRPr="00C1741E" w:rsidRDefault="00C55A32" w:rsidP="00C55A32">
            <w:pPr>
              <w:tabs>
                <w:tab w:val="left" w:pos="4820"/>
              </w:tabs>
              <w:ind w:left="360"/>
              <w:rPr>
                <w:rFonts w:cs="Calibri Light"/>
                <w:szCs w:val="20"/>
              </w:rPr>
            </w:pPr>
            <w:r w:rsidRPr="00C1741E">
              <w:rPr>
                <w:rFonts w:cs="Calibri Light"/>
                <w:szCs w:val="20"/>
              </w:rPr>
              <w:t xml:space="preserve">          5 points</w:t>
            </w:r>
          </w:p>
        </w:tc>
      </w:tr>
      <w:tr w:rsidR="00C55A32" w:rsidRPr="00291020" w14:paraId="27FB05C0" w14:textId="77777777" w:rsidTr="44221130">
        <w:trPr>
          <w:trHeight w:val="140"/>
          <w:jc w:val="center"/>
        </w:trPr>
        <w:tc>
          <w:tcPr>
            <w:tcW w:w="5440" w:type="dxa"/>
            <w:tcBorders>
              <w:top w:val="single" w:sz="4" w:space="0" w:color="auto"/>
              <w:left w:val="single" w:sz="4" w:space="0" w:color="auto"/>
              <w:bottom w:val="single" w:sz="4" w:space="0" w:color="auto"/>
              <w:right w:val="single" w:sz="4" w:space="0" w:color="auto"/>
            </w:tcBorders>
            <w:vAlign w:val="center"/>
          </w:tcPr>
          <w:p w14:paraId="03510D78" w14:textId="04848247" w:rsidR="00C55A32" w:rsidRPr="000B3B05" w:rsidRDefault="00C55A32" w:rsidP="00D90AD3">
            <w:pPr>
              <w:pStyle w:val="ListParagraph"/>
              <w:numPr>
                <w:ilvl w:val="0"/>
                <w:numId w:val="18"/>
              </w:numPr>
              <w:suppressAutoHyphens/>
              <w:autoSpaceDN w:val="0"/>
              <w:spacing w:after="0" w:line="240" w:lineRule="auto"/>
              <w:jc w:val="both"/>
              <w:rPr>
                <w:rFonts w:cs="Calibri Light"/>
              </w:rPr>
            </w:pPr>
            <w:r w:rsidRPr="02ED53A9">
              <w:rPr>
                <w:rFonts w:cs="Calibri Light"/>
              </w:rPr>
              <w:t>To what extent is the proposed expert able to understand and take part in innovation and work-related communications.</w:t>
            </w:r>
          </w:p>
        </w:tc>
        <w:tc>
          <w:tcPr>
            <w:tcW w:w="2749" w:type="dxa"/>
            <w:tcBorders>
              <w:top w:val="single" w:sz="4" w:space="0" w:color="auto"/>
              <w:left w:val="single" w:sz="4" w:space="0" w:color="auto"/>
              <w:bottom w:val="single" w:sz="4" w:space="0" w:color="auto"/>
              <w:right w:val="single" w:sz="4" w:space="0" w:color="auto"/>
            </w:tcBorders>
            <w:vAlign w:val="center"/>
          </w:tcPr>
          <w:p w14:paraId="577E6BD1" w14:textId="1A062638" w:rsidR="00C55A32" w:rsidRPr="00C1741E" w:rsidRDefault="00C55A32" w:rsidP="00C55A32">
            <w:pPr>
              <w:tabs>
                <w:tab w:val="left" w:pos="4820"/>
              </w:tabs>
              <w:rPr>
                <w:rFonts w:cs="Calibri Light"/>
              </w:rPr>
            </w:pPr>
            <w:r w:rsidRPr="00C1741E">
              <w:rPr>
                <w:rFonts w:cs="Calibri Light"/>
              </w:rPr>
              <w:t xml:space="preserve">                  5 points</w:t>
            </w:r>
          </w:p>
        </w:tc>
      </w:tr>
    </w:tbl>
    <w:p w14:paraId="4D21509D" w14:textId="77777777" w:rsidR="00501FE2" w:rsidRDefault="00501FE2" w:rsidP="003E3E53">
      <w:pPr>
        <w:autoSpaceDE w:val="0"/>
        <w:autoSpaceDN w:val="0"/>
        <w:adjustRightInd w:val="0"/>
        <w:spacing w:after="0" w:line="240" w:lineRule="auto"/>
        <w:ind w:right="1325"/>
        <w:rPr>
          <w:rFonts w:cs="Calibri Light"/>
          <w:color w:val="034EA4"/>
          <w:szCs w:val="20"/>
        </w:rPr>
      </w:pPr>
    </w:p>
    <w:p w14:paraId="5F7E5C19" w14:textId="5F38C5D3" w:rsidR="00367BFF" w:rsidRDefault="00367BFF" w:rsidP="023F6FEC">
      <w:pPr>
        <w:autoSpaceDE w:val="0"/>
        <w:autoSpaceDN w:val="0"/>
        <w:adjustRightInd w:val="0"/>
        <w:spacing w:after="0" w:line="240" w:lineRule="auto"/>
        <w:ind w:right="1325"/>
        <w:rPr>
          <w:rFonts w:cs="Calibri Light"/>
        </w:rPr>
      </w:pPr>
    </w:p>
    <w:p w14:paraId="6FF94584" w14:textId="2105408C" w:rsidR="00367BFF" w:rsidRDefault="0EE6E7C1" w:rsidP="00367BFF">
      <w:pPr>
        <w:autoSpaceDE w:val="0"/>
        <w:autoSpaceDN w:val="0"/>
        <w:adjustRightInd w:val="0"/>
        <w:spacing w:after="0" w:line="240" w:lineRule="auto"/>
        <w:ind w:right="1325"/>
        <w:rPr>
          <w:rFonts w:cs="Calibri Light"/>
          <w:color w:val="000000"/>
        </w:rPr>
      </w:pPr>
      <w:r w:rsidRPr="023F6FEC">
        <w:rPr>
          <w:rFonts w:cs="Calibri Light"/>
          <w:color w:val="000000"/>
          <w:u w:val="single"/>
        </w:rPr>
        <w:t>Points</w:t>
      </w:r>
      <w:r w:rsidR="63544B10" w:rsidRPr="023F6FEC">
        <w:rPr>
          <w:rFonts w:cs="Calibri Light"/>
          <w:color w:val="000000"/>
          <w:u w:val="single"/>
        </w:rPr>
        <w:t xml:space="preserve"> </w:t>
      </w:r>
      <w:r w:rsidR="5EABB2B7" w:rsidRPr="023F6FEC">
        <w:rPr>
          <w:rFonts w:cs="Calibri Light"/>
          <w:color w:val="000000"/>
          <w:u w:val="single"/>
        </w:rPr>
        <w:t>6</w:t>
      </w:r>
      <w:r w:rsidR="63544B10" w:rsidRPr="023F6FEC">
        <w:rPr>
          <w:rFonts w:cs="Calibri Light"/>
          <w:color w:val="000000"/>
          <w:u w:val="single"/>
        </w:rPr>
        <w:t xml:space="preserve">, </w:t>
      </w:r>
      <w:r w:rsidR="55307BFA" w:rsidRPr="023F6FEC">
        <w:rPr>
          <w:rFonts w:cs="Calibri Light"/>
          <w:color w:val="000000"/>
          <w:u w:val="single"/>
        </w:rPr>
        <w:t>7</w:t>
      </w:r>
      <w:r w:rsidR="7FA29C23" w:rsidRPr="023F6FEC">
        <w:rPr>
          <w:rFonts w:cs="Calibri Light"/>
          <w:color w:val="000000"/>
          <w:u w:val="single"/>
        </w:rPr>
        <w:t xml:space="preserve">, </w:t>
      </w:r>
      <w:r w:rsidR="29A96ED8" w:rsidRPr="023F6FEC">
        <w:rPr>
          <w:rFonts w:cs="Calibri Light"/>
          <w:color w:val="000000"/>
          <w:u w:val="single"/>
        </w:rPr>
        <w:t>9</w:t>
      </w:r>
      <w:r w:rsidR="63544B10" w:rsidRPr="023F6FEC">
        <w:rPr>
          <w:rFonts w:cs="Calibri Light"/>
          <w:color w:val="000000"/>
          <w:u w:val="single"/>
        </w:rPr>
        <w:t xml:space="preserve"> and </w:t>
      </w:r>
      <w:r w:rsidR="3B479495" w:rsidRPr="023F6FEC">
        <w:rPr>
          <w:rFonts w:cs="Calibri Light"/>
          <w:color w:val="000000"/>
          <w:u w:val="single"/>
        </w:rPr>
        <w:t>10</w:t>
      </w:r>
      <w:r w:rsidR="63544B10" w:rsidRPr="023F6FEC">
        <w:rPr>
          <w:rFonts w:cs="Calibri Light"/>
          <w:color w:val="000000"/>
          <w:u w:val="single"/>
        </w:rPr>
        <w:t xml:space="preserve"> </w:t>
      </w:r>
      <w:r w:rsidRPr="023F6FEC">
        <w:rPr>
          <w:rFonts w:cs="Calibri Light"/>
          <w:color w:val="000000"/>
        </w:rPr>
        <w:t>of the evaluation criteria</w:t>
      </w:r>
      <w:r w:rsidR="00C1741E" w:rsidRPr="00C1741E">
        <w:rPr>
          <w:rFonts w:cs="Calibri Light"/>
          <w:color w:val="000000"/>
        </w:rPr>
        <w:t xml:space="preserve"> </w:t>
      </w:r>
      <w:r w:rsidR="544DAE0A" w:rsidRPr="023F6FEC">
        <w:rPr>
          <w:rFonts w:cs="Calibri Light"/>
          <w:color w:val="000000"/>
        </w:rPr>
        <w:t>will be evaluated using a comparative ranking system, where proposals are assessed and ranked in order of merit by the evaluation committee. Points are then assigned based on the ranking, using one of the following two scales, depending on the maximum score allocated to the criterion:</w:t>
      </w:r>
    </w:p>
    <w:p w14:paraId="775F10AF" w14:textId="77777777" w:rsidR="00367BFF" w:rsidRDefault="00367BFF" w:rsidP="00367BFF">
      <w:pPr>
        <w:autoSpaceDE w:val="0"/>
        <w:autoSpaceDN w:val="0"/>
        <w:adjustRightInd w:val="0"/>
        <w:spacing w:after="0" w:line="240" w:lineRule="auto"/>
        <w:ind w:right="1325"/>
        <w:rPr>
          <w:rFonts w:cs="Calibri Light"/>
          <w:color w:val="000000"/>
        </w:rPr>
      </w:pPr>
    </w:p>
    <w:tbl>
      <w:tblPr>
        <w:tblStyle w:val="TableGrid"/>
        <w:tblW w:w="9216" w:type="dxa"/>
        <w:tblLook w:val="04A0" w:firstRow="1" w:lastRow="0" w:firstColumn="1" w:lastColumn="0" w:noHBand="0" w:noVBand="1"/>
      </w:tblPr>
      <w:tblGrid>
        <w:gridCol w:w="3112"/>
        <w:gridCol w:w="3052"/>
        <w:gridCol w:w="3052"/>
      </w:tblGrid>
      <w:tr w:rsidR="00F570B3" w14:paraId="1306BC95" w14:textId="77777777" w:rsidTr="00646A80">
        <w:trPr>
          <w:trHeight w:val="607"/>
        </w:trPr>
        <w:tc>
          <w:tcPr>
            <w:tcW w:w="3112" w:type="dxa"/>
          </w:tcPr>
          <w:p w14:paraId="5F6B6DA4" w14:textId="138FAA3A" w:rsidR="00F570B3" w:rsidRPr="00950B1F" w:rsidRDefault="00F570B3" w:rsidP="00367BFF">
            <w:pPr>
              <w:autoSpaceDE w:val="0"/>
              <w:autoSpaceDN w:val="0"/>
              <w:adjustRightInd w:val="0"/>
              <w:spacing w:after="0" w:line="240" w:lineRule="auto"/>
              <w:ind w:right="1325"/>
              <w:rPr>
                <w:rFonts w:cs="Calibri Light"/>
                <w:color w:val="000000"/>
                <w:lang w:val="en-GB"/>
              </w:rPr>
            </w:pPr>
          </w:p>
        </w:tc>
        <w:tc>
          <w:tcPr>
            <w:tcW w:w="3052" w:type="dxa"/>
          </w:tcPr>
          <w:p w14:paraId="0B7C67C0" w14:textId="047AE0AD" w:rsidR="00F570B3" w:rsidRPr="00367BFF" w:rsidRDefault="00F570B3" w:rsidP="00367BFF">
            <w:pPr>
              <w:autoSpaceDE w:val="0"/>
              <w:autoSpaceDN w:val="0"/>
              <w:adjustRightInd w:val="0"/>
              <w:spacing w:after="0" w:line="240" w:lineRule="auto"/>
              <w:ind w:right="1325"/>
              <w:rPr>
                <w:rFonts w:cs="Calibri Light"/>
                <w:color w:val="000000"/>
                <w:lang w:val="en-GB"/>
              </w:rPr>
            </w:pPr>
            <w:r w:rsidRPr="00367BFF">
              <w:rPr>
                <w:rFonts w:cs="Calibri Light"/>
                <w:color w:val="000000"/>
                <w:lang w:val="en-GB"/>
              </w:rPr>
              <w:t>If the criterion has a maximum score of 10 points:</w:t>
            </w:r>
          </w:p>
        </w:tc>
        <w:tc>
          <w:tcPr>
            <w:tcW w:w="3052" w:type="dxa"/>
          </w:tcPr>
          <w:p w14:paraId="116F1BF5" w14:textId="103224F9" w:rsidR="00F570B3" w:rsidRPr="0018790B" w:rsidRDefault="00F570B3" w:rsidP="00367BFF">
            <w:pPr>
              <w:autoSpaceDE w:val="0"/>
              <w:autoSpaceDN w:val="0"/>
              <w:adjustRightInd w:val="0"/>
              <w:spacing w:after="0" w:line="240" w:lineRule="auto"/>
              <w:ind w:right="1325"/>
              <w:rPr>
                <w:rFonts w:cs="Calibri Light"/>
                <w:color w:val="000000"/>
                <w:lang w:val="en-GB"/>
              </w:rPr>
            </w:pPr>
            <w:r w:rsidRPr="0018790B">
              <w:rPr>
                <w:rFonts w:cs="Calibri Light"/>
                <w:color w:val="000000"/>
                <w:lang w:val="en-GB"/>
              </w:rPr>
              <w:t>If the criterion has a maximum score of 5 points</w:t>
            </w:r>
          </w:p>
        </w:tc>
      </w:tr>
      <w:tr w:rsidR="00F570B3" w14:paraId="323E0D7A" w14:textId="77777777" w:rsidTr="00646A80">
        <w:trPr>
          <w:trHeight w:val="195"/>
        </w:trPr>
        <w:tc>
          <w:tcPr>
            <w:tcW w:w="3112" w:type="dxa"/>
          </w:tcPr>
          <w:p w14:paraId="047D4CF1" w14:textId="5C4C9447" w:rsidR="00F570B3" w:rsidRPr="00367BFF" w:rsidRDefault="00F570B3" w:rsidP="00367BFF">
            <w:pPr>
              <w:autoSpaceDE w:val="0"/>
              <w:autoSpaceDN w:val="0"/>
              <w:adjustRightInd w:val="0"/>
              <w:spacing w:after="0" w:line="240" w:lineRule="auto"/>
              <w:ind w:right="1325"/>
              <w:rPr>
                <w:rFonts w:cs="Calibri Light"/>
                <w:color w:val="000000"/>
                <w:lang w:val="en-GB"/>
              </w:rPr>
            </w:pPr>
            <w:r>
              <w:rPr>
                <w:rFonts w:cs="Calibri Light"/>
                <w:color w:val="000000"/>
                <w:lang w:val="en-GB"/>
              </w:rPr>
              <w:t>Best candidate:</w:t>
            </w:r>
          </w:p>
        </w:tc>
        <w:tc>
          <w:tcPr>
            <w:tcW w:w="3052" w:type="dxa"/>
          </w:tcPr>
          <w:p w14:paraId="55FD5E7D" w14:textId="1E65B50A" w:rsidR="00F570B3" w:rsidRPr="00367BFF" w:rsidRDefault="00F570B3" w:rsidP="00367BFF">
            <w:pPr>
              <w:autoSpaceDE w:val="0"/>
              <w:autoSpaceDN w:val="0"/>
              <w:adjustRightInd w:val="0"/>
              <w:spacing w:after="0" w:line="240" w:lineRule="auto"/>
              <w:ind w:right="1325"/>
              <w:rPr>
                <w:rFonts w:cs="Calibri Light"/>
                <w:color w:val="000000"/>
                <w:lang w:val="en-GB"/>
              </w:rPr>
            </w:pPr>
            <w:r>
              <w:rPr>
                <w:rFonts w:cs="Calibri Light"/>
                <w:color w:val="000000"/>
                <w:lang w:val="en-GB"/>
              </w:rPr>
              <w:t>10 points</w:t>
            </w:r>
          </w:p>
        </w:tc>
        <w:tc>
          <w:tcPr>
            <w:tcW w:w="3052" w:type="dxa"/>
          </w:tcPr>
          <w:p w14:paraId="741ED04D" w14:textId="51588F32" w:rsidR="00F570B3" w:rsidRPr="0018790B" w:rsidRDefault="00F570B3" w:rsidP="00367BFF">
            <w:pPr>
              <w:autoSpaceDE w:val="0"/>
              <w:autoSpaceDN w:val="0"/>
              <w:adjustRightInd w:val="0"/>
              <w:spacing w:after="0" w:line="240" w:lineRule="auto"/>
              <w:ind w:right="1325"/>
              <w:rPr>
                <w:rFonts w:cs="Calibri Light"/>
                <w:color w:val="000000"/>
                <w:lang w:val="en-GB"/>
              </w:rPr>
            </w:pPr>
            <w:r w:rsidRPr="0018790B">
              <w:rPr>
                <w:rFonts w:cs="Calibri Light"/>
                <w:color w:val="000000"/>
                <w:lang w:val="en-GB"/>
              </w:rPr>
              <w:t>5 points</w:t>
            </w:r>
          </w:p>
        </w:tc>
      </w:tr>
      <w:tr w:rsidR="00F570B3" w14:paraId="68D95C07" w14:textId="77777777" w:rsidTr="00646A80">
        <w:trPr>
          <w:trHeight w:val="200"/>
        </w:trPr>
        <w:tc>
          <w:tcPr>
            <w:tcW w:w="3112" w:type="dxa"/>
          </w:tcPr>
          <w:p w14:paraId="1197CCB4" w14:textId="67FA80E6" w:rsidR="00F570B3" w:rsidRPr="00367BFF" w:rsidRDefault="00F570B3" w:rsidP="00367BFF">
            <w:pPr>
              <w:autoSpaceDE w:val="0"/>
              <w:autoSpaceDN w:val="0"/>
              <w:adjustRightInd w:val="0"/>
              <w:spacing w:after="0" w:line="240" w:lineRule="auto"/>
              <w:ind w:right="1325"/>
              <w:rPr>
                <w:rFonts w:cs="Calibri Light"/>
                <w:color w:val="000000"/>
                <w:lang w:val="en-GB"/>
              </w:rPr>
            </w:pPr>
            <w:r>
              <w:rPr>
                <w:rFonts w:cs="Calibri Light"/>
                <w:color w:val="000000"/>
                <w:lang w:val="en-GB"/>
              </w:rPr>
              <w:t>2</w:t>
            </w:r>
            <w:r w:rsidRPr="00367BFF">
              <w:rPr>
                <w:rFonts w:cs="Calibri Light"/>
                <w:color w:val="000000"/>
                <w:vertAlign w:val="superscript"/>
                <w:lang w:val="en-GB"/>
              </w:rPr>
              <w:t>nd</w:t>
            </w:r>
            <w:r>
              <w:rPr>
                <w:rFonts w:cs="Calibri Light"/>
                <w:color w:val="000000"/>
                <w:lang w:val="en-GB"/>
              </w:rPr>
              <w:t xml:space="preserve"> best candidate</w:t>
            </w:r>
          </w:p>
        </w:tc>
        <w:tc>
          <w:tcPr>
            <w:tcW w:w="3052" w:type="dxa"/>
          </w:tcPr>
          <w:p w14:paraId="0794BE88" w14:textId="1D3EFD59" w:rsidR="00F570B3" w:rsidRPr="00367BFF" w:rsidRDefault="00F570B3" w:rsidP="00367BFF">
            <w:pPr>
              <w:autoSpaceDE w:val="0"/>
              <w:autoSpaceDN w:val="0"/>
              <w:adjustRightInd w:val="0"/>
              <w:spacing w:after="0" w:line="240" w:lineRule="auto"/>
              <w:ind w:right="1325"/>
              <w:rPr>
                <w:rFonts w:cs="Calibri Light"/>
                <w:color w:val="000000"/>
                <w:lang w:val="en-GB"/>
              </w:rPr>
            </w:pPr>
            <w:r>
              <w:rPr>
                <w:rFonts w:cs="Calibri Light"/>
                <w:color w:val="000000"/>
                <w:lang w:val="en-GB"/>
              </w:rPr>
              <w:t>7 points</w:t>
            </w:r>
          </w:p>
        </w:tc>
        <w:tc>
          <w:tcPr>
            <w:tcW w:w="3052" w:type="dxa"/>
          </w:tcPr>
          <w:p w14:paraId="705E102A" w14:textId="2CF20F8B" w:rsidR="00F570B3" w:rsidRPr="0018790B" w:rsidRDefault="00F570B3" w:rsidP="00367BFF">
            <w:pPr>
              <w:autoSpaceDE w:val="0"/>
              <w:autoSpaceDN w:val="0"/>
              <w:adjustRightInd w:val="0"/>
              <w:spacing w:after="0" w:line="240" w:lineRule="auto"/>
              <w:ind w:right="1325"/>
              <w:rPr>
                <w:rFonts w:cs="Calibri Light"/>
                <w:color w:val="000000"/>
                <w:lang w:val="en-GB"/>
              </w:rPr>
            </w:pPr>
            <w:r w:rsidRPr="0018790B">
              <w:rPr>
                <w:rFonts w:cs="Calibri Light"/>
                <w:color w:val="000000"/>
                <w:lang w:val="en-GB"/>
              </w:rPr>
              <w:t>4 points</w:t>
            </w:r>
          </w:p>
        </w:tc>
      </w:tr>
      <w:tr w:rsidR="00F570B3" w14:paraId="07E2149D" w14:textId="77777777" w:rsidTr="00646A80">
        <w:trPr>
          <w:trHeight w:val="200"/>
        </w:trPr>
        <w:tc>
          <w:tcPr>
            <w:tcW w:w="3112" w:type="dxa"/>
          </w:tcPr>
          <w:p w14:paraId="75AC64E3" w14:textId="4E08E315" w:rsidR="00F570B3" w:rsidRPr="00367BFF" w:rsidRDefault="00F570B3" w:rsidP="00367BFF">
            <w:pPr>
              <w:autoSpaceDE w:val="0"/>
              <w:autoSpaceDN w:val="0"/>
              <w:adjustRightInd w:val="0"/>
              <w:spacing w:after="0" w:line="240" w:lineRule="auto"/>
              <w:ind w:right="1325"/>
              <w:rPr>
                <w:rFonts w:cs="Calibri Light"/>
                <w:color w:val="000000"/>
                <w:lang w:val="en-GB"/>
              </w:rPr>
            </w:pPr>
            <w:r>
              <w:rPr>
                <w:rFonts w:cs="Calibri Light"/>
                <w:color w:val="000000"/>
                <w:lang w:val="en-GB"/>
              </w:rPr>
              <w:t>3</w:t>
            </w:r>
            <w:r w:rsidRPr="00367BFF">
              <w:rPr>
                <w:rFonts w:cs="Calibri Light"/>
                <w:color w:val="000000"/>
                <w:vertAlign w:val="superscript"/>
                <w:lang w:val="en-GB"/>
              </w:rPr>
              <w:t>rd</w:t>
            </w:r>
            <w:r>
              <w:rPr>
                <w:rFonts w:cs="Calibri Light"/>
                <w:color w:val="000000"/>
                <w:lang w:val="en-GB"/>
              </w:rPr>
              <w:t xml:space="preserve"> best candidate</w:t>
            </w:r>
          </w:p>
        </w:tc>
        <w:tc>
          <w:tcPr>
            <w:tcW w:w="3052" w:type="dxa"/>
          </w:tcPr>
          <w:p w14:paraId="71A74B54" w14:textId="31989AD9" w:rsidR="00F570B3" w:rsidRPr="00367BFF" w:rsidRDefault="00F570B3" w:rsidP="00367BFF">
            <w:pPr>
              <w:autoSpaceDE w:val="0"/>
              <w:autoSpaceDN w:val="0"/>
              <w:adjustRightInd w:val="0"/>
              <w:spacing w:after="0" w:line="240" w:lineRule="auto"/>
              <w:ind w:right="1325"/>
              <w:rPr>
                <w:rFonts w:cs="Calibri Light"/>
                <w:color w:val="000000"/>
                <w:lang w:val="en-GB"/>
              </w:rPr>
            </w:pPr>
            <w:r>
              <w:rPr>
                <w:rFonts w:cs="Calibri Light"/>
                <w:color w:val="000000"/>
                <w:lang w:val="en-GB"/>
              </w:rPr>
              <w:t>4 points</w:t>
            </w:r>
          </w:p>
        </w:tc>
        <w:tc>
          <w:tcPr>
            <w:tcW w:w="3052" w:type="dxa"/>
          </w:tcPr>
          <w:p w14:paraId="3A01C0E3" w14:textId="0D002BD0" w:rsidR="00F570B3" w:rsidRPr="0018790B" w:rsidRDefault="00F570B3" w:rsidP="00367BFF">
            <w:pPr>
              <w:autoSpaceDE w:val="0"/>
              <w:autoSpaceDN w:val="0"/>
              <w:adjustRightInd w:val="0"/>
              <w:spacing w:after="0" w:line="240" w:lineRule="auto"/>
              <w:ind w:right="1325"/>
              <w:rPr>
                <w:rFonts w:cs="Calibri Light"/>
                <w:color w:val="000000"/>
                <w:lang w:val="en-GB"/>
              </w:rPr>
            </w:pPr>
            <w:r w:rsidRPr="0018790B">
              <w:rPr>
                <w:rFonts w:cs="Calibri Light"/>
                <w:color w:val="000000"/>
                <w:lang w:val="en-GB"/>
              </w:rPr>
              <w:t>3 points</w:t>
            </w:r>
          </w:p>
        </w:tc>
      </w:tr>
      <w:tr w:rsidR="00F570B3" w14:paraId="79197507" w14:textId="77777777" w:rsidTr="00646A80">
        <w:trPr>
          <w:trHeight w:val="195"/>
        </w:trPr>
        <w:tc>
          <w:tcPr>
            <w:tcW w:w="3112" w:type="dxa"/>
          </w:tcPr>
          <w:p w14:paraId="073D79B8" w14:textId="61B0771B" w:rsidR="00F570B3" w:rsidRPr="00367BFF" w:rsidRDefault="00F570B3" w:rsidP="00367BFF">
            <w:pPr>
              <w:autoSpaceDE w:val="0"/>
              <w:autoSpaceDN w:val="0"/>
              <w:adjustRightInd w:val="0"/>
              <w:spacing w:after="0" w:line="240" w:lineRule="auto"/>
              <w:ind w:right="1325"/>
              <w:rPr>
                <w:rFonts w:cs="Calibri Light"/>
                <w:color w:val="000000"/>
                <w:lang w:val="en-GB"/>
              </w:rPr>
            </w:pPr>
            <w:r>
              <w:rPr>
                <w:rFonts w:cs="Calibri Light"/>
                <w:color w:val="000000"/>
                <w:lang w:val="en-GB"/>
              </w:rPr>
              <w:t>4</w:t>
            </w:r>
            <w:r w:rsidRPr="00367BFF">
              <w:rPr>
                <w:rFonts w:cs="Calibri Light"/>
                <w:color w:val="000000"/>
                <w:vertAlign w:val="superscript"/>
                <w:lang w:val="en-GB"/>
              </w:rPr>
              <w:t>th</w:t>
            </w:r>
            <w:r>
              <w:rPr>
                <w:rFonts w:cs="Calibri Light"/>
                <w:color w:val="000000"/>
                <w:lang w:val="en-GB"/>
              </w:rPr>
              <w:t xml:space="preserve"> best candidate</w:t>
            </w:r>
          </w:p>
        </w:tc>
        <w:tc>
          <w:tcPr>
            <w:tcW w:w="3052" w:type="dxa"/>
          </w:tcPr>
          <w:p w14:paraId="5C73418A" w14:textId="5DF53CB1" w:rsidR="00F570B3" w:rsidRPr="00367BFF" w:rsidRDefault="00F570B3" w:rsidP="00367BFF">
            <w:pPr>
              <w:autoSpaceDE w:val="0"/>
              <w:autoSpaceDN w:val="0"/>
              <w:adjustRightInd w:val="0"/>
              <w:spacing w:after="0" w:line="240" w:lineRule="auto"/>
              <w:ind w:right="1325"/>
              <w:rPr>
                <w:rFonts w:cs="Calibri Light"/>
                <w:color w:val="000000"/>
                <w:lang w:val="en-GB"/>
              </w:rPr>
            </w:pPr>
            <w:r>
              <w:rPr>
                <w:rFonts w:cs="Calibri Light"/>
                <w:color w:val="000000"/>
                <w:lang w:val="en-GB"/>
              </w:rPr>
              <w:t>1 point</w:t>
            </w:r>
          </w:p>
        </w:tc>
        <w:tc>
          <w:tcPr>
            <w:tcW w:w="3052" w:type="dxa"/>
          </w:tcPr>
          <w:p w14:paraId="4CA61FBA" w14:textId="6FAA6337" w:rsidR="00F570B3" w:rsidRPr="0018790B" w:rsidRDefault="00F570B3" w:rsidP="00367BFF">
            <w:pPr>
              <w:autoSpaceDE w:val="0"/>
              <w:autoSpaceDN w:val="0"/>
              <w:adjustRightInd w:val="0"/>
              <w:spacing w:after="0" w:line="240" w:lineRule="auto"/>
              <w:ind w:right="1325"/>
              <w:rPr>
                <w:rFonts w:cs="Calibri Light"/>
                <w:color w:val="000000"/>
                <w:lang w:val="en-GB"/>
              </w:rPr>
            </w:pPr>
            <w:r w:rsidRPr="0018790B">
              <w:rPr>
                <w:rFonts w:cs="Calibri Light"/>
                <w:color w:val="000000"/>
                <w:lang w:val="en-GB"/>
              </w:rPr>
              <w:t>1 point</w:t>
            </w:r>
          </w:p>
        </w:tc>
      </w:tr>
      <w:tr w:rsidR="00F570B3" w14:paraId="46C9649F" w14:textId="77777777" w:rsidTr="00646A80">
        <w:trPr>
          <w:trHeight w:val="235"/>
        </w:trPr>
        <w:tc>
          <w:tcPr>
            <w:tcW w:w="3112" w:type="dxa"/>
          </w:tcPr>
          <w:p w14:paraId="60AB8E45" w14:textId="1A4F0746" w:rsidR="00F570B3" w:rsidRPr="00367BFF" w:rsidRDefault="00F570B3" w:rsidP="00367BFF">
            <w:pPr>
              <w:autoSpaceDE w:val="0"/>
              <w:autoSpaceDN w:val="0"/>
              <w:adjustRightInd w:val="0"/>
              <w:spacing w:after="0" w:line="240" w:lineRule="auto"/>
              <w:ind w:right="1325"/>
              <w:rPr>
                <w:rFonts w:cs="Calibri Light"/>
                <w:color w:val="000000"/>
                <w:lang w:val="en-GB"/>
              </w:rPr>
            </w:pPr>
            <w:r>
              <w:rPr>
                <w:rFonts w:cs="Calibri Light"/>
                <w:color w:val="000000"/>
                <w:lang w:val="en-GB"/>
              </w:rPr>
              <w:t>5</w:t>
            </w:r>
            <w:r w:rsidRPr="00367BFF">
              <w:rPr>
                <w:rFonts w:cs="Calibri Light"/>
                <w:color w:val="000000"/>
                <w:vertAlign w:val="superscript"/>
                <w:lang w:val="en-GB"/>
              </w:rPr>
              <w:t>th</w:t>
            </w:r>
            <w:r>
              <w:rPr>
                <w:rFonts w:cs="Calibri Light"/>
                <w:color w:val="000000"/>
                <w:lang w:val="en-GB"/>
              </w:rPr>
              <w:t xml:space="preserve"> best candidate and below</w:t>
            </w:r>
          </w:p>
        </w:tc>
        <w:tc>
          <w:tcPr>
            <w:tcW w:w="3052" w:type="dxa"/>
          </w:tcPr>
          <w:p w14:paraId="307DC94E" w14:textId="69BC07B6" w:rsidR="00F570B3" w:rsidRPr="00367BFF" w:rsidRDefault="00F570B3" w:rsidP="00367BFF">
            <w:pPr>
              <w:autoSpaceDE w:val="0"/>
              <w:autoSpaceDN w:val="0"/>
              <w:adjustRightInd w:val="0"/>
              <w:spacing w:after="0" w:line="240" w:lineRule="auto"/>
              <w:ind w:right="1325"/>
              <w:rPr>
                <w:rFonts w:cs="Calibri Light"/>
                <w:color w:val="000000"/>
                <w:lang w:val="en-GB"/>
              </w:rPr>
            </w:pPr>
            <w:r>
              <w:rPr>
                <w:rFonts w:cs="Calibri Light"/>
                <w:color w:val="000000"/>
                <w:lang w:val="en-GB"/>
              </w:rPr>
              <w:t>0 points</w:t>
            </w:r>
          </w:p>
        </w:tc>
        <w:tc>
          <w:tcPr>
            <w:tcW w:w="3052" w:type="dxa"/>
          </w:tcPr>
          <w:p w14:paraId="64A07FD0" w14:textId="08C7DA2A" w:rsidR="00F570B3" w:rsidRPr="0018790B" w:rsidRDefault="00F570B3" w:rsidP="00367BFF">
            <w:pPr>
              <w:autoSpaceDE w:val="0"/>
              <w:autoSpaceDN w:val="0"/>
              <w:adjustRightInd w:val="0"/>
              <w:spacing w:after="0" w:line="240" w:lineRule="auto"/>
              <w:ind w:right="1325"/>
              <w:rPr>
                <w:rFonts w:cs="Calibri Light"/>
                <w:color w:val="000000"/>
                <w:lang w:val="en-GB"/>
              </w:rPr>
            </w:pPr>
            <w:r w:rsidRPr="0018790B">
              <w:rPr>
                <w:rFonts w:cs="Calibri Light"/>
                <w:color w:val="000000"/>
                <w:lang w:val="en-GB"/>
              </w:rPr>
              <w:t>0 points</w:t>
            </w:r>
          </w:p>
        </w:tc>
      </w:tr>
    </w:tbl>
    <w:p w14:paraId="48ECC885" w14:textId="77777777" w:rsidR="00367BFF" w:rsidRPr="00367BFF" w:rsidRDefault="00367BFF" w:rsidP="00367BFF">
      <w:pPr>
        <w:autoSpaceDE w:val="0"/>
        <w:autoSpaceDN w:val="0"/>
        <w:adjustRightInd w:val="0"/>
        <w:spacing w:after="0" w:line="240" w:lineRule="auto"/>
        <w:ind w:right="1325"/>
        <w:rPr>
          <w:rFonts w:cs="Calibri Light"/>
          <w:color w:val="000000"/>
        </w:rPr>
      </w:pPr>
    </w:p>
    <w:p w14:paraId="6A8ED5B6" w14:textId="77777777" w:rsidR="00367BFF" w:rsidRPr="00367BFF" w:rsidRDefault="00367BFF" w:rsidP="00367BFF">
      <w:pPr>
        <w:autoSpaceDE w:val="0"/>
        <w:autoSpaceDN w:val="0"/>
        <w:adjustRightInd w:val="0"/>
        <w:spacing w:after="0" w:line="240" w:lineRule="auto"/>
        <w:ind w:right="1325"/>
        <w:rPr>
          <w:rFonts w:cs="Calibri Light"/>
          <w:color w:val="000000"/>
        </w:rPr>
      </w:pPr>
    </w:p>
    <w:p w14:paraId="307B455C" w14:textId="77777777" w:rsidR="00317518" w:rsidRDefault="00367BFF" w:rsidP="00317518">
      <w:pPr>
        <w:autoSpaceDE w:val="0"/>
        <w:autoSpaceDN w:val="0"/>
        <w:adjustRightInd w:val="0"/>
        <w:spacing w:after="0" w:line="240" w:lineRule="auto"/>
        <w:ind w:right="1325"/>
        <w:jc w:val="both"/>
        <w:rPr>
          <w:rFonts w:cs="Calibri Light"/>
          <w:color w:val="000000"/>
        </w:rPr>
      </w:pPr>
      <w:r w:rsidRPr="00367BFF">
        <w:rPr>
          <w:rFonts w:cs="Calibri Light"/>
          <w:color w:val="000000"/>
        </w:rPr>
        <w:t>In both cases, only the top four proposals receive points; all others receive zero. This method ensures a relative scoring approach that rewards the strongest proposals per criterion.</w:t>
      </w:r>
      <w:r w:rsidR="00317518">
        <w:rPr>
          <w:rFonts w:cs="Calibri Light"/>
          <w:color w:val="000000"/>
        </w:rPr>
        <w:t xml:space="preserve"> </w:t>
      </w:r>
    </w:p>
    <w:p w14:paraId="71BC6D88" w14:textId="77777777" w:rsidR="00317518" w:rsidRDefault="00317518" w:rsidP="00317518">
      <w:pPr>
        <w:autoSpaceDE w:val="0"/>
        <w:autoSpaceDN w:val="0"/>
        <w:adjustRightInd w:val="0"/>
        <w:spacing w:after="0" w:line="240" w:lineRule="auto"/>
        <w:ind w:right="1325"/>
        <w:jc w:val="both"/>
        <w:rPr>
          <w:rFonts w:cs="Calibri Light"/>
          <w:color w:val="000000"/>
        </w:rPr>
      </w:pPr>
    </w:p>
    <w:p w14:paraId="7032135C" w14:textId="042099E4" w:rsidR="00950B1F" w:rsidRDefault="0EE6E7C1" w:rsidP="00317518">
      <w:pPr>
        <w:autoSpaceDE w:val="0"/>
        <w:autoSpaceDN w:val="0"/>
        <w:adjustRightInd w:val="0"/>
        <w:spacing w:after="0" w:line="240" w:lineRule="auto"/>
        <w:ind w:right="1325"/>
        <w:jc w:val="both"/>
        <w:rPr>
          <w:rFonts w:cs="Calibri Light"/>
          <w:color w:val="000000"/>
        </w:rPr>
      </w:pPr>
      <w:r w:rsidRPr="023F6FEC">
        <w:rPr>
          <w:rFonts w:cs="Calibri Light"/>
          <w:color w:val="000000"/>
        </w:rPr>
        <w:t xml:space="preserve">The other  criterion </w:t>
      </w:r>
      <w:r w:rsidR="0FC2D2FF" w:rsidRPr="023F6FEC">
        <w:rPr>
          <w:rFonts w:cs="Calibri Light"/>
          <w:color w:val="000000"/>
        </w:rPr>
        <w:t xml:space="preserve">(1, 2, 3, 4, 5 and 8) </w:t>
      </w:r>
      <w:r w:rsidRPr="023F6FEC">
        <w:rPr>
          <w:rFonts w:cs="Calibri Light"/>
          <w:color w:val="000000"/>
        </w:rPr>
        <w:t>does not need to</w:t>
      </w:r>
      <w:r w:rsidR="175BDA65" w:rsidRPr="023F6FEC">
        <w:rPr>
          <w:rFonts w:cs="Calibri Light"/>
          <w:color w:val="000000"/>
        </w:rPr>
        <w:t xml:space="preserve"> follow the previous rational. Evaluators can therefore give to the </w:t>
      </w:r>
      <w:r w:rsidR="73D16A1B" w:rsidRPr="023F6FEC">
        <w:rPr>
          <w:rFonts w:cs="Calibri Light"/>
          <w:color w:val="000000"/>
        </w:rPr>
        <w:t>different proposed experts</w:t>
      </w:r>
      <w:r w:rsidR="175BDA65" w:rsidRPr="023F6FEC">
        <w:rPr>
          <w:rFonts w:cs="Calibri Light"/>
          <w:color w:val="000000"/>
        </w:rPr>
        <w:t xml:space="preserve"> the points that they consider for each criterion. </w:t>
      </w:r>
    </w:p>
    <w:p w14:paraId="7F7974ED" w14:textId="77777777" w:rsidR="002E03A7" w:rsidRDefault="002E03A7" w:rsidP="00317518">
      <w:pPr>
        <w:autoSpaceDE w:val="0"/>
        <w:autoSpaceDN w:val="0"/>
        <w:adjustRightInd w:val="0"/>
        <w:spacing w:after="0" w:line="240" w:lineRule="auto"/>
        <w:ind w:right="1325"/>
        <w:jc w:val="both"/>
        <w:rPr>
          <w:rFonts w:cs="Calibri Light"/>
          <w:color w:val="000000"/>
        </w:rPr>
      </w:pPr>
    </w:p>
    <w:p w14:paraId="4CB1EF52" w14:textId="77777777" w:rsidR="002E03A7" w:rsidRPr="002E03A7" w:rsidRDefault="002E03A7" w:rsidP="002E03A7">
      <w:pPr>
        <w:autoSpaceDE w:val="0"/>
        <w:autoSpaceDN w:val="0"/>
        <w:adjustRightInd w:val="0"/>
        <w:spacing w:after="0" w:line="240" w:lineRule="auto"/>
        <w:ind w:right="1325"/>
        <w:jc w:val="both"/>
        <w:rPr>
          <w:rFonts w:cs="Calibri Light"/>
          <w:color w:val="000000"/>
        </w:rPr>
      </w:pPr>
      <w:r w:rsidRPr="002E03A7">
        <w:rPr>
          <w:rFonts w:cs="Calibri Light"/>
          <w:color w:val="000000"/>
          <w:lang w:val="en-US"/>
        </w:rPr>
        <w:t>The applicable award criteria will be weighted as follows:</w:t>
      </w:r>
      <w:r w:rsidRPr="002E03A7">
        <w:rPr>
          <w:rFonts w:cs="Calibri Light"/>
          <w:color w:val="000000"/>
        </w:rPr>
        <w:t> </w:t>
      </w:r>
    </w:p>
    <w:p w14:paraId="6136F9D9" w14:textId="77777777" w:rsidR="002E03A7" w:rsidRPr="002E03A7" w:rsidRDefault="002E03A7" w:rsidP="002E03A7">
      <w:pPr>
        <w:autoSpaceDE w:val="0"/>
        <w:autoSpaceDN w:val="0"/>
        <w:adjustRightInd w:val="0"/>
        <w:spacing w:after="0" w:line="240" w:lineRule="auto"/>
        <w:ind w:right="1325"/>
        <w:jc w:val="both"/>
        <w:rPr>
          <w:rFonts w:cs="Calibri Light"/>
          <w:color w:val="000000"/>
        </w:rPr>
      </w:pPr>
      <w:r w:rsidRPr="002E03A7">
        <w:rPr>
          <w:rFonts w:cs="Calibri Light"/>
          <w:color w:val="000000"/>
        </w:rPr>
        <w:lastRenderedPageBreak/>
        <w:t> </w:t>
      </w:r>
    </w:p>
    <w:p w14:paraId="151BEA9A" w14:textId="2C87D636" w:rsidR="002E03A7" w:rsidRPr="002E03A7" w:rsidRDefault="002E03A7" w:rsidP="002E03A7">
      <w:pPr>
        <w:autoSpaceDE w:val="0"/>
        <w:autoSpaceDN w:val="0"/>
        <w:adjustRightInd w:val="0"/>
        <w:spacing w:after="0" w:line="240" w:lineRule="auto"/>
        <w:ind w:right="1325"/>
        <w:jc w:val="both"/>
        <w:rPr>
          <w:rFonts w:cs="Calibri Light"/>
          <w:color w:val="000000"/>
        </w:rPr>
      </w:pPr>
      <w:r w:rsidRPr="002E03A7">
        <w:rPr>
          <w:rFonts w:cs="Calibri Light"/>
          <w:color w:val="000000"/>
          <w:lang w:val="en-US"/>
        </w:rPr>
        <w:t>A. Technical content:</w:t>
      </w:r>
      <w:r>
        <w:rPr>
          <w:rFonts w:cs="Calibri Light"/>
          <w:color w:val="000000"/>
          <w:lang w:val="en-US"/>
        </w:rPr>
        <w:t>85</w:t>
      </w:r>
      <w:r w:rsidRPr="002E03A7">
        <w:rPr>
          <w:rFonts w:cs="Calibri Light"/>
          <w:color w:val="000000"/>
          <w:lang w:val="en-US"/>
        </w:rPr>
        <w:t>%</w:t>
      </w:r>
      <w:r w:rsidRPr="002E03A7">
        <w:rPr>
          <w:rFonts w:cs="Calibri Light"/>
          <w:color w:val="000000"/>
        </w:rPr>
        <w:t> </w:t>
      </w:r>
    </w:p>
    <w:p w14:paraId="6B03D795" w14:textId="3DFA8615" w:rsidR="002E03A7" w:rsidRPr="002E03A7" w:rsidRDefault="002E03A7" w:rsidP="002E03A7">
      <w:pPr>
        <w:autoSpaceDE w:val="0"/>
        <w:autoSpaceDN w:val="0"/>
        <w:adjustRightInd w:val="0"/>
        <w:spacing w:after="0" w:line="240" w:lineRule="auto"/>
        <w:ind w:right="1325"/>
        <w:jc w:val="both"/>
        <w:rPr>
          <w:rFonts w:cs="Calibri Light"/>
          <w:color w:val="000000"/>
        </w:rPr>
      </w:pPr>
      <w:r w:rsidRPr="002E03A7">
        <w:rPr>
          <w:rFonts w:cs="Calibri Light"/>
          <w:color w:val="000000"/>
          <w:lang w:val="en-US"/>
        </w:rPr>
        <w:t xml:space="preserve">B. Financial offer: </w:t>
      </w:r>
      <w:r>
        <w:rPr>
          <w:rFonts w:cs="Calibri Light"/>
          <w:color w:val="000000"/>
          <w:lang w:val="en-US"/>
        </w:rPr>
        <w:t>15</w:t>
      </w:r>
      <w:r w:rsidRPr="002E03A7">
        <w:rPr>
          <w:rFonts w:cs="Calibri Light"/>
          <w:color w:val="000000"/>
          <w:lang w:val="en-US"/>
        </w:rPr>
        <w:t>%</w:t>
      </w:r>
      <w:r w:rsidRPr="002E03A7">
        <w:rPr>
          <w:rFonts w:cs="Calibri Light"/>
          <w:color w:val="000000"/>
        </w:rPr>
        <w:t> </w:t>
      </w:r>
    </w:p>
    <w:p w14:paraId="0D724D78" w14:textId="77777777" w:rsidR="002E03A7" w:rsidRPr="002E03A7" w:rsidRDefault="002E03A7" w:rsidP="002E03A7">
      <w:pPr>
        <w:autoSpaceDE w:val="0"/>
        <w:autoSpaceDN w:val="0"/>
        <w:adjustRightInd w:val="0"/>
        <w:spacing w:after="0" w:line="240" w:lineRule="auto"/>
        <w:ind w:right="1325"/>
        <w:jc w:val="both"/>
        <w:rPr>
          <w:rFonts w:cs="Calibri Light"/>
          <w:color w:val="000000"/>
        </w:rPr>
      </w:pPr>
      <w:r w:rsidRPr="002E03A7">
        <w:rPr>
          <w:rFonts w:cs="Calibri Light"/>
          <w:color w:val="000000"/>
        </w:rPr>
        <w:t> </w:t>
      </w:r>
    </w:p>
    <w:p w14:paraId="75129C14" w14:textId="77777777" w:rsidR="002E03A7" w:rsidRPr="002E03A7" w:rsidRDefault="002E03A7" w:rsidP="002E03A7">
      <w:pPr>
        <w:autoSpaceDE w:val="0"/>
        <w:autoSpaceDN w:val="0"/>
        <w:adjustRightInd w:val="0"/>
        <w:spacing w:after="0" w:line="240" w:lineRule="auto"/>
        <w:ind w:right="1325"/>
        <w:jc w:val="both"/>
        <w:rPr>
          <w:rFonts w:cs="Calibri Light"/>
          <w:color w:val="000000"/>
        </w:rPr>
      </w:pPr>
      <w:r w:rsidRPr="002E03A7">
        <w:rPr>
          <w:rFonts w:cs="Calibri Light"/>
          <w:color w:val="000000"/>
          <w:u w:val="single"/>
          <w:lang w:val="en-US"/>
        </w:rPr>
        <w:t>Aggregate evaluation and scoring:</w:t>
      </w:r>
      <w:r w:rsidRPr="002E03A7">
        <w:rPr>
          <w:rFonts w:cs="Calibri Light"/>
          <w:color w:val="000000"/>
        </w:rPr>
        <w:t> </w:t>
      </w:r>
    </w:p>
    <w:p w14:paraId="65FAA0E7" w14:textId="77777777" w:rsidR="002E03A7" w:rsidRPr="002E03A7" w:rsidRDefault="002E03A7" w:rsidP="002E03A7">
      <w:pPr>
        <w:autoSpaceDE w:val="0"/>
        <w:autoSpaceDN w:val="0"/>
        <w:adjustRightInd w:val="0"/>
        <w:spacing w:after="0" w:line="240" w:lineRule="auto"/>
        <w:ind w:right="1325"/>
        <w:jc w:val="both"/>
        <w:rPr>
          <w:rFonts w:cs="Calibri Light"/>
          <w:color w:val="000000"/>
        </w:rPr>
      </w:pPr>
      <w:r w:rsidRPr="002E03A7">
        <w:rPr>
          <w:rFonts w:cs="Calibri Light"/>
          <w:color w:val="000000"/>
        </w:rPr>
        <w:t> </w:t>
      </w:r>
    </w:p>
    <w:p w14:paraId="5AFB9EA6" w14:textId="14A52842" w:rsidR="002E03A7" w:rsidRPr="002E03A7" w:rsidRDefault="002E03A7" w:rsidP="002E03A7">
      <w:pPr>
        <w:autoSpaceDE w:val="0"/>
        <w:autoSpaceDN w:val="0"/>
        <w:adjustRightInd w:val="0"/>
        <w:spacing w:after="0" w:line="240" w:lineRule="auto"/>
        <w:ind w:right="1325"/>
        <w:jc w:val="both"/>
        <w:rPr>
          <w:rFonts w:cs="Calibri Light"/>
          <w:color w:val="000000"/>
        </w:rPr>
      </w:pPr>
      <w:r w:rsidRPr="002E03A7">
        <w:rPr>
          <w:rFonts w:cs="Calibri Light"/>
          <w:color w:val="000000"/>
          <w:lang w:val="en-US"/>
        </w:rPr>
        <w:t xml:space="preserve">A. Technical content (maximum weighted score: </w:t>
      </w:r>
      <w:r>
        <w:rPr>
          <w:rFonts w:cs="Calibri Light"/>
          <w:color w:val="000000"/>
          <w:lang w:val="en-US"/>
        </w:rPr>
        <w:t>85</w:t>
      </w:r>
      <w:r w:rsidRPr="002E03A7">
        <w:rPr>
          <w:rFonts w:cs="Calibri Light"/>
          <w:color w:val="000000"/>
          <w:lang w:val="en-US"/>
        </w:rPr>
        <w:t>%)</w:t>
      </w:r>
      <w:r w:rsidRPr="002E03A7">
        <w:rPr>
          <w:rFonts w:cs="Calibri Light"/>
          <w:color w:val="000000"/>
        </w:rPr>
        <w:t> </w:t>
      </w:r>
    </w:p>
    <w:p w14:paraId="02023341" w14:textId="77777777" w:rsidR="002E03A7" w:rsidRPr="002E03A7" w:rsidRDefault="002E03A7" w:rsidP="002E03A7">
      <w:pPr>
        <w:autoSpaceDE w:val="0"/>
        <w:autoSpaceDN w:val="0"/>
        <w:adjustRightInd w:val="0"/>
        <w:spacing w:after="0" w:line="240" w:lineRule="auto"/>
        <w:ind w:right="1325"/>
        <w:jc w:val="both"/>
        <w:rPr>
          <w:rFonts w:cs="Calibri Light"/>
          <w:color w:val="000000"/>
        </w:rPr>
      </w:pPr>
      <w:r w:rsidRPr="002E03A7">
        <w:rPr>
          <w:rFonts w:cs="Calibri Light"/>
          <w:color w:val="000000"/>
          <w:lang w:val="en-US"/>
        </w:rPr>
        <w:t>Evaluation of the technical content will be carried out following the below sub-criteria:</w:t>
      </w:r>
      <w:r w:rsidRPr="002E03A7">
        <w:rPr>
          <w:rFonts w:cs="Calibri Light"/>
          <w:color w:val="000000"/>
        </w:rPr>
        <w:t> </w:t>
      </w:r>
    </w:p>
    <w:p w14:paraId="2974FC23" w14:textId="38B5ACE2" w:rsidR="002E03A7" w:rsidRPr="002E03A7" w:rsidRDefault="002E03A7" w:rsidP="002E03A7">
      <w:pPr>
        <w:autoSpaceDE w:val="0"/>
        <w:autoSpaceDN w:val="0"/>
        <w:adjustRightInd w:val="0"/>
        <w:spacing w:after="0" w:line="240" w:lineRule="auto"/>
        <w:ind w:right="1325"/>
        <w:jc w:val="both"/>
        <w:rPr>
          <w:rFonts w:cs="Calibri Light"/>
          <w:color w:val="000000"/>
        </w:rPr>
      </w:pPr>
      <w:r w:rsidRPr="002E03A7">
        <w:rPr>
          <w:rFonts w:cs="Calibri Light"/>
          <w:color w:val="000000"/>
          <w:lang w:val="en-US"/>
        </w:rPr>
        <w:t>I. Technical capacity of the Tenderer (</w:t>
      </w:r>
      <w:r w:rsidRPr="00154EB7">
        <w:rPr>
          <w:rFonts w:cs="Calibri Light"/>
          <w:color w:val="000000"/>
          <w:lang w:val="en-US"/>
        </w:rPr>
        <w:t>maximum score: 100)</w:t>
      </w:r>
      <w:r w:rsidRPr="002E03A7">
        <w:rPr>
          <w:rFonts w:cs="Calibri Light"/>
          <w:color w:val="000000"/>
        </w:rPr>
        <w:t> </w:t>
      </w:r>
    </w:p>
    <w:p w14:paraId="07F9950D" w14:textId="77777777" w:rsidR="002E03A7" w:rsidRPr="002E03A7" w:rsidRDefault="002E03A7" w:rsidP="002E03A7">
      <w:pPr>
        <w:autoSpaceDE w:val="0"/>
        <w:autoSpaceDN w:val="0"/>
        <w:adjustRightInd w:val="0"/>
        <w:spacing w:after="0" w:line="240" w:lineRule="auto"/>
        <w:ind w:right="1325"/>
        <w:jc w:val="both"/>
        <w:rPr>
          <w:rFonts w:cs="Calibri Light"/>
          <w:color w:val="000000"/>
        </w:rPr>
      </w:pPr>
      <w:r w:rsidRPr="002E03A7">
        <w:rPr>
          <w:rFonts w:cs="Calibri Light"/>
          <w:color w:val="000000"/>
        </w:rPr>
        <w:t> </w:t>
      </w:r>
    </w:p>
    <w:p w14:paraId="0CD7BF09" w14:textId="0EDFC6A7" w:rsidR="002E03A7" w:rsidRPr="002E03A7" w:rsidRDefault="002E03A7" w:rsidP="002E03A7">
      <w:pPr>
        <w:autoSpaceDE w:val="0"/>
        <w:autoSpaceDN w:val="0"/>
        <w:adjustRightInd w:val="0"/>
        <w:spacing w:after="0" w:line="240" w:lineRule="auto"/>
        <w:ind w:right="1325"/>
        <w:jc w:val="both"/>
        <w:rPr>
          <w:rFonts w:cs="Calibri Light"/>
          <w:color w:val="000000"/>
        </w:rPr>
      </w:pPr>
      <w:r w:rsidRPr="002E03A7">
        <w:rPr>
          <w:rFonts w:cs="Calibri Light"/>
          <w:color w:val="000000"/>
          <w:lang w:val="en-US"/>
        </w:rPr>
        <w:t xml:space="preserve">B. Financial offer (maximum weighted score: </w:t>
      </w:r>
      <w:r>
        <w:rPr>
          <w:rFonts w:cs="Calibri Light"/>
          <w:color w:val="000000"/>
          <w:lang w:val="en-US"/>
        </w:rPr>
        <w:t>15</w:t>
      </w:r>
      <w:r w:rsidRPr="002E03A7">
        <w:rPr>
          <w:rFonts w:cs="Calibri Light"/>
          <w:color w:val="000000"/>
          <w:lang w:val="en-US"/>
        </w:rPr>
        <w:t>%)</w:t>
      </w:r>
      <w:r w:rsidRPr="002E03A7">
        <w:rPr>
          <w:rFonts w:cs="Calibri Light"/>
          <w:color w:val="000000"/>
        </w:rPr>
        <w:t> </w:t>
      </w:r>
    </w:p>
    <w:p w14:paraId="4BC86F4C" w14:textId="77777777" w:rsidR="002E03A7" w:rsidRPr="002E03A7" w:rsidRDefault="002E03A7" w:rsidP="002E03A7">
      <w:pPr>
        <w:autoSpaceDE w:val="0"/>
        <w:autoSpaceDN w:val="0"/>
        <w:adjustRightInd w:val="0"/>
        <w:spacing w:after="0" w:line="240" w:lineRule="auto"/>
        <w:ind w:right="1325"/>
        <w:jc w:val="both"/>
        <w:rPr>
          <w:rFonts w:cs="Calibri Light"/>
          <w:color w:val="000000"/>
        </w:rPr>
      </w:pPr>
      <w:r w:rsidRPr="002E03A7">
        <w:rPr>
          <w:rFonts w:cs="Calibri Light"/>
          <w:color w:val="000000"/>
          <w:lang w:val="en-US"/>
        </w:rPr>
        <w:t>The financial offer must be presented in EUR. Prices must be indicated as net amount, excl. VAT.</w:t>
      </w:r>
      <w:r w:rsidRPr="002E03A7">
        <w:rPr>
          <w:rFonts w:cs="Calibri Light"/>
          <w:color w:val="000000"/>
        </w:rPr>
        <w:t> </w:t>
      </w:r>
    </w:p>
    <w:p w14:paraId="429E1294" w14:textId="161F0AF8" w:rsidR="002E03A7" w:rsidRPr="0059454C" w:rsidRDefault="002E03A7" w:rsidP="002E03A7">
      <w:pPr>
        <w:autoSpaceDE w:val="0"/>
        <w:autoSpaceDN w:val="0"/>
        <w:adjustRightInd w:val="0"/>
        <w:spacing w:after="0" w:line="240" w:lineRule="auto"/>
        <w:ind w:right="1325"/>
        <w:jc w:val="both"/>
        <w:rPr>
          <w:rFonts w:cs="Calibri Light"/>
          <w:color w:val="000000"/>
        </w:rPr>
      </w:pPr>
      <w:r w:rsidRPr="002E03A7">
        <w:rPr>
          <w:rFonts w:cs="Calibri Light"/>
          <w:color w:val="000000"/>
          <w:lang w:val="en-US"/>
        </w:rPr>
        <w:t>The lowest offered price shall receive the highest score (</w:t>
      </w:r>
      <w:r>
        <w:rPr>
          <w:rFonts w:cs="Calibri Light"/>
          <w:color w:val="000000"/>
          <w:lang w:val="en-US"/>
        </w:rPr>
        <w:t>100</w:t>
      </w:r>
      <w:r w:rsidRPr="002E03A7">
        <w:rPr>
          <w:rFonts w:cs="Calibri Light"/>
          <w:color w:val="000000"/>
          <w:lang w:val="en-US"/>
        </w:rPr>
        <w:t>); others shall be calculated in relation to that in linear equation.</w:t>
      </w:r>
      <w:r w:rsidRPr="002E03A7">
        <w:rPr>
          <w:rFonts w:cs="Calibri Light"/>
          <w:color w:val="000000"/>
        </w:rPr>
        <w:t> </w:t>
      </w:r>
    </w:p>
    <w:p w14:paraId="191E60C2" w14:textId="2C5FF461" w:rsidR="007A4EF2" w:rsidRPr="002E03A7" w:rsidRDefault="1AE3A701" w:rsidP="007A4EF2">
      <w:pPr>
        <w:pStyle w:val="Heading2"/>
        <w:ind w:left="0" w:right="1282"/>
        <w:jc w:val="both"/>
        <w:rPr>
          <w:rFonts w:eastAsia="Times New Roman" w:cs="Calibri Light"/>
          <w:b w:val="0"/>
          <w:bCs w:val="0"/>
          <w:lang w:eastAsia="sv-SE"/>
        </w:rPr>
      </w:pPr>
      <w:bookmarkStart w:id="45" w:name="_Toc1439305508"/>
      <w:bookmarkStart w:id="46" w:name="_Toc206684768"/>
      <w:r w:rsidRPr="7295751F">
        <w:rPr>
          <w:rFonts w:eastAsia="Times New Roman" w:cs="Calibri Light"/>
          <w:b w:val="0"/>
          <w:bCs w:val="0"/>
          <w:lang w:eastAsia="sv-SE"/>
        </w:rPr>
        <w:t>4.3. Selection of the suppliers</w:t>
      </w:r>
      <w:bookmarkEnd w:id="45"/>
      <w:bookmarkEnd w:id="46"/>
    </w:p>
    <w:p w14:paraId="6E06FF43" w14:textId="6AF83C51" w:rsidR="007A4EF2" w:rsidRPr="002E03A7" w:rsidRDefault="7C8DC140" w:rsidP="4F2CC5D0">
      <w:pPr>
        <w:pStyle w:val="BodyText2"/>
        <w:tabs>
          <w:tab w:val="left" w:pos="630"/>
        </w:tabs>
        <w:spacing w:before="120" w:line="240" w:lineRule="auto"/>
        <w:jc w:val="both"/>
        <w:rPr>
          <w:rFonts w:cs="Calibri Light"/>
        </w:rPr>
      </w:pPr>
      <w:r w:rsidRPr="002E03A7">
        <w:rPr>
          <w:rFonts w:cs="Calibri Light"/>
        </w:rPr>
        <w:t>The final selection of the supplier will be based on the best price-quality ratio principle. The best price-quality ratio is established by weighing technical quality against price on a</w:t>
      </w:r>
      <w:r w:rsidR="256FAB0E" w:rsidRPr="002E03A7">
        <w:rPr>
          <w:rFonts w:cs="Calibri Light"/>
        </w:rPr>
        <w:t xml:space="preserve"> </w:t>
      </w:r>
      <w:r w:rsidR="14ED2381" w:rsidRPr="002E03A7">
        <w:rPr>
          <w:rFonts w:cs="Calibri Light"/>
        </w:rPr>
        <w:t>85</w:t>
      </w:r>
      <w:r w:rsidRPr="002E03A7">
        <w:rPr>
          <w:rFonts w:cs="Calibri Light"/>
        </w:rPr>
        <w:t>%/</w:t>
      </w:r>
      <w:r w:rsidR="7584D5C4" w:rsidRPr="002E03A7">
        <w:rPr>
          <w:rFonts w:cs="Calibri Light"/>
        </w:rPr>
        <w:t>15</w:t>
      </w:r>
      <w:r w:rsidRPr="002E03A7">
        <w:rPr>
          <w:rFonts w:cs="Calibri Light"/>
        </w:rPr>
        <w:t>% basis, i.e.</w:t>
      </w:r>
    </w:p>
    <w:p w14:paraId="1D7B9C63" w14:textId="5337E16F" w:rsidR="007A4EF2" w:rsidRPr="002E03A7" w:rsidRDefault="007A4EF2" w:rsidP="001C789C">
      <w:pPr>
        <w:pStyle w:val="BodyText2"/>
        <w:tabs>
          <w:tab w:val="left" w:pos="0"/>
          <w:tab w:val="left" w:pos="630"/>
        </w:tabs>
        <w:spacing w:before="120" w:line="240" w:lineRule="auto"/>
        <w:ind w:left="630"/>
        <w:jc w:val="both"/>
        <w:rPr>
          <w:rFonts w:cs="Calibri Light"/>
          <w:bCs/>
          <w:i/>
        </w:rPr>
      </w:pPr>
      <w:r w:rsidRPr="002E03A7">
        <w:rPr>
          <w:rFonts w:cs="Calibri Light"/>
          <w:bCs/>
          <w:i/>
        </w:rPr>
        <w:t>Total technical score: m</w:t>
      </w:r>
      <w:r w:rsidRPr="00154EB7">
        <w:rPr>
          <w:rFonts w:cs="Calibri Light"/>
          <w:bCs/>
          <w:i/>
        </w:rPr>
        <w:t xml:space="preserve">ax. </w:t>
      </w:r>
      <w:r w:rsidR="00291020" w:rsidRPr="00154EB7">
        <w:rPr>
          <w:rFonts w:cs="Calibri Light"/>
          <w:bCs/>
          <w:i/>
        </w:rPr>
        <w:t>10</w:t>
      </w:r>
      <w:r w:rsidRPr="00154EB7">
        <w:rPr>
          <w:rFonts w:cs="Calibri Light"/>
          <w:bCs/>
          <w:i/>
        </w:rPr>
        <w:t>0 (weight</w:t>
      </w:r>
      <w:r w:rsidRPr="002E03A7">
        <w:rPr>
          <w:rFonts w:cs="Calibri Light"/>
          <w:bCs/>
          <w:i/>
        </w:rPr>
        <w:t xml:space="preserve">: </w:t>
      </w:r>
      <w:r w:rsidR="005408D9" w:rsidRPr="002E03A7">
        <w:rPr>
          <w:rFonts w:cs="Calibri Light"/>
          <w:bCs/>
          <w:i/>
        </w:rPr>
        <w:t>8</w:t>
      </w:r>
      <w:r w:rsidR="00EA22F7" w:rsidRPr="002E03A7">
        <w:rPr>
          <w:rFonts w:cs="Calibri Light"/>
          <w:bCs/>
          <w:i/>
        </w:rPr>
        <w:t>5</w:t>
      </w:r>
      <w:r w:rsidRPr="002E03A7">
        <w:rPr>
          <w:rFonts w:cs="Calibri Light"/>
          <w:bCs/>
          <w:i/>
        </w:rPr>
        <w:t>%)</w:t>
      </w:r>
    </w:p>
    <w:p w14:paraId="2A2B3CEF" w14:textId="3C58317F" w:rsidR="007A4EF2" w:rsidRPr="0066346A" w:rsidRDefault="254F6AA6" w:rsidP="023F6FEC">
      <w:pPr>
        <w:pStyle w:val="BodyText2"/>
        <w:tabs>
          <w:tab w:val="left" w:pos="630"/>
        </w:tabs>
        <w:spacing w:before="120" w:line="240" w:lineRule="auto"/>
        <w:ind w:left="630"/>
        <w:jc w:val="both"/>
        <w:rPr>
          <w:rFonts w:cs="Calibri Light"/>
          <w:i/>
          <w:iCs/>
        </w:rPr>
      </w:pPr>
      <w:r w:rsidRPr="0066346A">
        <w:rPr>
          <w:rFonts w:cs="Calibri Light"/>
          <w:i/>
          <w:iCs/>
        </w:rPr>
        <w:t>Total financial score: max.</w:t>
      </w:r>
      <w:r w:rsidR="77A7306D" w:rsidRPr="0066346A">
        <w:rPr>
          <w:rFonts w:cs="Calibri Light"/>
          <w:i/>
          <w:iCs/>
        </w:rPr>
        <w:t>10</w:t>
      </w:r>
      <w:r w:rsidRPr="0066346A">
        <w:rPr>
          <w:rFonts w:cs="Calibri Light"/>
          <w:i/>
          <w:iCs/>
        </w:rPr>
        <w:t xml:space="preserve">0 (weight: </w:t>
      </w:r>
      <w:r w:rsidR="694D747C" w:rsidRPr="0066346A">
        <w:rPr>
          <w:rFonts w:cs="Calibri Light"/>
          <w:i/>
          <w:iCs/>
        </w:rPr>
        <w:t>15</w:t>
      </w:r>
      <w:r w:rsidRPr="0066346A">
        <w:rPr>
          <w:rFonts w:cs="Calibri Light"/>
          <w:i/>
          <w:iCs/>
        </w:rPr>
        <w:t>%)</w:t>
      </w:r>
    </w:p>
    <w:p w14:paraId="769C5221" w14:textId="697C4559" w:rsidR="007A4EF2" w:rsidRPr="0066346A" w:rsidRDefault="777F0D26" w:rsidP="00C1741E">
      <w:pPr>
        <w:spacing w:before="120" w:after="0" w:line="240" w:lineRule="auto"/>
        <w:ind w:right="-2"/>
        <w:jc w:val="both"/>
        <w:rPr>
          <w:rFonts w:cs="Calibri Light"/>
          <w:color w:val="000000"/>
        </w:rPr>
      </w:pPr>
      <w:r w:rsidRPr="0066346A">
        <w:rPr>
          <w:rFonts w:cs="Calibri Light"/>
          <w:color w:val="000000"/>
        </w:rPr>
        <w:t>The financial offer must be presented in EUR. Prices must be indicated as gross amount, excluding VAT.</w:t>
      </w:r>
    </w:p>
    <w:p w14:paraId="4335EA6C" w14:textId="119449EC" w:rsidR="007A4EF2" w:rsidRPr="0066346A" w:rsidRDefault="777F0D26" w:rsidP="63DC4369">
      <w:pPr>
        <w:spacing w:before="120" w:after="0" w:line="240" w:lineRule="auto"/>
        <w:ind w:left="630" w:right="1325"/>
        <w:jc w:val="both"/>
        <w:rPr>
          <w:rFonts w:cs="Calibri Light"/>
          <w:color w:val="000000"/>
        </w:rPr>
      </w:pPr>
      <w:r w:rsidRPr="0066346A">
        <w:rPr>
          <w:rFonts w:cs="Calibri Light"/>
          <w:color w:val="000000"/>
        </w:rPr>
        <w:t>The lowest offered price shall receive the highest score (100), others shall be calculated in relation to that in linear equation.</w:t>
      </w:r>
    </w:p>
    <w:p w14:paraId="57CD74CA" w14:textId="2E8A84D7" w:rsidR="007A4EF2" w:rsidRPr="0066346A" w:rsidRDefault="254F6AA6" w:rsidP="63DC4369">
      <w:pPr>
        <w:pStyle w:val="BodyText2"/>
        <w:tabs>
          <w:tab w:val="left" w:pos="630"/>
        </w:tabs>
        <w:spacing w:before="120" w:line="240" w:lineRule="auto"/>
        <w:ind w:left="630"/>
        <w:jc w:val="both"/>
        <w:rPr>
          <w:rFonts w:cs="Calibri Light"/>
          <w:i/>
          <w:iCs/>
        </w:rPr>
      </w:pPr>
      <w:r w:rsidRPr="0066346A">
        <w:rPr>
          <w:rFonts w:cs="Calibri Light"/>
          <w:i/>
          <w:iCs/>
        </w:rPr>
        <w:t>Total score: max</w:t>
      </w:r>
      <w:r w:rsidRPr="00154EB7">
        <w:rPr>
          <w:rFonts w:cs="Calibri Light"/>
          <w:i/>
          <w:iCs/>
        </w:rPr>
        <w:t>.</w:t>
      </w:r>
      <w:r w:rsidR="4E28E0C7" w:rsidRPr="00154EB7">
        <w:rPr>
          <w:rFonts w:cs="Calibri Light"/>
          <w:i/>
          <w:iCs/>
        </w:rPr>
        <w:t>100</w:t>
      </w:r>
      <w:r w:rsidRPr="00154EB7">
        <w:rPr>
          <w:rFonts w:cs="Calibri Light"/>
          <w:i/>
          <w:iCs/>
        </w:rPr>
        <w:t xml:space="preserve"> (total</w:t>
      </w:r>
      <w:r w:rsidRPr="0066346A">
        <w:rPr>
          <w:rFonts w:cs="Calibri Light"/>
          <w:i/>
          <w:iCs/>
        </w:rPr>
        <w:t xml:space="preserve"> technical score x 0,</w:t>
      </w:r>
      <w:r w:rsidR="6BFC45CC" w:rsidRPr="0066346A">
        <w:rPr>
          <w:rFonts w:cs="Calibri Light"/>
          <w:i/>
          <w:iCs/>
        </w:rPr>
        <w:t>8</w:t>
      </w:r>
      <w:r w:rsidR="694D747C" w:rsidRPr="0066346A">
        <w:rPr>
          <w:rFonts w:cs="Calibri Light"/>
          <w:i/>
          <w:iCs/>
        </w:rPr>
        <w:t>5</w:t>
      </w:r>
      <w:r w:rsidRPr="0066346A">
        <w:rPr>
          <w:rFonts w:cs="Calibri Light"/>
          <w:i/>
          <w:iCs/>
        </w:rPr>
        <w:t xml:space="preserve"> + total financial score x 0,</w:t>
      </w:r>
      <w:r w:rsidR="694D747C" w:rsidRPr="0066346A">
        <w:rPr>
          <w:rFonts w:cs="Calibri Light"/>
          <w:i/>
          <w:iCs/>
        </w:rPr>
        <w:t>15</w:t>
      </w:r>
      <w:r w:rsidRPr="0066346A">
        <w:rPr>
          <w:rFonts w:cs="Calibri Light"/>
          <w:i/>
          <w:iCs/>
        </w:rPr>
        <w:t>)</w:t>
      </w:r>
    </w:p>
    <w:p w14:paraId="0657510C" w14:textId="77777777" w:rsidR="0066346A" w:rsidRPr="0066346A" w:rsidRDefault="0066346A" w:rsidP="001C789C">
      <w:pPr>
        <w:pStyle w:val="BodyText2"/>
        <w:tabs>
          <w:tab w:val="left" w:pos="0"/>
          <w:tab w:val="left" w:pos="630"/>
        </w:tabs>
        <w:spacing w:before="120" w:line="240" w:lineRule="auto"/>
        <w:jc w:val="both"/>
        <w:rPr>
          <w:rFonts w:cs="Calibri Light"/>
        </w:rPr>
      </w:pPr>
      <w:r w:rsidRPr="0066346A">
        <w:rPr>
          <w:rFonts w:cs="Calibri Light"/>
        </w:rPr>
        <w:t xml:space="preserve">The winners shall be the one with the highest total score summed from technical and financial scores, and that tenderer shall be proposed for the contract. </w:t>
      </w:r>
    </w:p>
    <w:p w14:paraId="0CB7E316" w14:textId="232CBCE5" w:rsidR="007A4EF2" w:rsidRDefault="007A4EF2" w:rsidP="001C789C">
      <w:pPr>
        <w:pStyle w:val="BodyText2"/>
        <w:tabs>
          <w:tab w:val="left" w:pos="0"/>
          <w:tab w:val="left" w:pos="630"/>
        </w:tabs>
        <w:spacing w:before="120" w:line="240" w:lineRule="auto"/>
        <w:jc w:val="both"/>
        <w:rPr>
          <w:rFonts w:cs="Calibri Light"/>
          <w:bCs/>
        </w:rPr>
      </w:pPr>
      <w:r w:rsidRPr="0066346A">
        <w:rPr>
          <w:rFonts w:cs="Calibri Light"/>
          <w:bCs/>
        </w:rPr>
        <w:t>The successful and unsuccessful tenderers will be informed in writing via email</w:t>
      </w:r>
      <w:r w:rsidRPr="0066346A">
        <w:rPr>
          <w:rFonts w:eastAsia="Calibri Light" w:cs="Calibri Light"/>
          <w:bCs/>
        </w:rPr>
        <w:t xml:space="preserve"> </w:t>
      </w:r>
      <w:r w:rsidRPr="0066346A">
        <w:rPr>
          <w:rFonts w:cs="Calibri Light"/>
          <w:bCs/>
        </w:rPr>
        <w:t>about the result of the award procedure.</w:t>
      </w:r>
      <w:r w:rsidRPr="004A13E8">
        <w:rPr>
          <w:rFonts w:cs="Calibri Light"/>
          <w:bCs/>
        </w:rPr>
        <w:t xml:space="preserve"> </w:t>
      </w:r>
    </w:p>
    <w:p w14:paraId="72F71115" w14:textId="1C590C29" w:rsidR="007A4EF2" w:rsidRPr="00933DD0" w:rsidRDefault="1AE3A701" w:rsidP="007A4EF2">
      <w:pPr>
        <w:pStyle w:val="Heading2"/>
        <w:ind w:left="0" w:right="1282"/>
        <w:jc w:val="both"/>
        <w:rPr>
          <w:rFonts w:eastAsia="Times New Roman" w:cs="Calibri Light"/>
          <w:b w:val="0"/>
          <w:bCs w:val="0"/>
          <w:lang w:eastAsia="sv-SE"/>
        </w:rPr>
      </w:pPr>
      <w:bookmarkStart w:id="47" w:name="_Toc1031810553"/>
      <w:bookmarkStart w:id="48" w:name="_Toc206684769"/>
      <w:r w:rsidRPr="7295751F">
        <w:rPr>
          <w:rFonts w:eastAsia="Times New Roman" w:cs="Calibri Light"/>
          <w:b w:val="0"/>
          <w:bCs w:val="0"/>
          <w:lang w:eastAsia="sv-SE"/>
        </w:rPr>
        <w:t>4.4. Signature of contract(s)</w:t>
      </w:r>
      <w:bookmarkEnd w:id="47"/>
      <w:bookmarkEnd w:id="48"/>
    </w:p>
    <w:p w14:paraId="300C3AB8" w14:textId="77777777" w:rsidR="007A4EF2" w:rsidRPr="004A13E8" w:rsidRDefault="007A4EF2" w:rsidP="001C789C">
      <w:pPr>
        <w:keepNext/>
        <w:spacing w:before="120" w:after="120" w:line="276" w:lineRule="auto"/>
        <w:jc w:val="both"/>
        <w:rPr>
          <w:rFonts w:cs="Calibri Light"/>
          <w:szCs w:val="20"/>
        </w:rPr>
      </w:pPr>
      <w:r w:rsidRPr="004A13E8">
        <w:rPr>
          <w:rFonts w:cs="Calibri Light"/>
          <w:szCs w:val="20"/>
        </w:rPr>
        <w:t xml:space="preserve">The tenderers will be informed in writing (via email) about the result of the award procedure. </w:t>
      </w:r>
    </w:p>
    <w:p w14:paraId="603581AE" w14:textId="3D420CC1" w:rsidR="007A4EF2" w:rsidRPr="004A13E8" w:rsidRDefault="007A4EF2" w:rsidP="001C789C">
      <w:pPr>
        <w:spacing w:line="276" w:lineRule="auto"/>
        <w:jc w:val="both"/>
        <w:rPr>
          <w:rFonts w:cs="Calibri Light"/>
          <w:szCs w:val="20"/>
        </w:rPr>
      </w:pPr>
      <w:r w:rsidRPr="004A13E8">
        <w:rPr>
          <w:rFonts w:cs="Calibri Light"/>
          <w:szCs w:val="20"/>
        </w:rPr>
        <w:t>For the contract, the template in Annex 1 shall apply.</w:t>
      </w:r>
    </w:p>
    <w:p w14:paraId="1F342F6D" w14:textId="7FBCCC12" w:rsidR="007A4EF2" w:rsidRPr="004A13E8" w:rsidRDefault="007A4EF2" w:rsidP="001C789C">
      <w:pPr>
        <w:jc w:val="both"/>
        <w:rPr>
          <w:lang w:eastAsia="sv-SE"/>
        </w:rPr>
      </w:pPr>
      <w:r w:rsidRPr="2EB00308">
        <w:rPr>
          <w:rFonts w:cs="Calibri Light"/>
        </w:rPr>
        <w:t>Within 3 days of receipt of the contract from EIT Urban Mobility, the selected tenderer shall sign and date the contract and return it to EIT Urban Mobility.</w:t>
      </w:r>
    </w:p>
    <w:p w14:paraId="5FFF6F0E" w14:textId="03F6A4DC" w:rsidR="007A4EF2" w:rsidRPr="00933DD0" w:rsidRDefault="1AE3A701" w:rsidP="007A4EF2">
      <w:pPr>
        <w:pStyle w:val="Heading2"/>
        <w:ind w:left="0" w:right="1282"/>
        <w:jc w:val="both"/>
        <w:rPr>
          <w:rFonts w:eastAsia="Times New Roman" w:cs="Calibri Light"/>
          <w:b w:val="0"/>
          <w:bCs w:val="0"/>
          <w:lang w:eastAsia="sv-SE"/>
        </w:rPr>
      </w:pPr>
      <w:bookmarkStart w:id="49" w:name="_Toc1965933663"/>
      <w:bookmarkStart w:id="50" w:name="_Toc206684770"/>
      <w:r w:rsidRPr="7295751F">
        <w:rPr>
          <w:rFonts w:eastAsia="Times New Roman" w:cs="Calibri Light"/>
          <w:b w:val="0"/>
          <w:bCs w:val="0"/>
          <w:lang w:eastAsia="sv-SE"/>
        </w:rPr>
        <w:t>4.5. Cancellation of the proposal procedure</w:t>
      </w:r>
      <w:bookmarkEnd w:id="49"/>
      <w:bookmarkEnd w:id="50"/>
    </w:p>
    <w:p w14:paraId="4F0CDD8A" w14:textId="77777777" w:rsidR="007A4EF2" w:rsidRPr="004A13E8" w:rsidRDefault="007A4EF2" w:rsidP="001C789C">
      <w:pPr>
        <w:pStyle w:val="BodyText2"/>
        <w:tabs>
          <w:tab w:val="left" w:pos="0"/>
          <w:tab w:val="left" w:pos="630"/>
        </w:tabs>
        <w:spacing w:before="120" w:line="276" w:lineRule="auto"/>
        <w:jc w:val="both"/>
        <w:rPr>
          <w:rFonts w:cs="Calibri Light"/>
          <w:bCs/>
        </w:rPr>
      </w:pPr>
      <w:r w:rsidRPr="004A13E8">
        <w:rPr>
          <w:rFonts w:cs="Calibri Light"/>
        </w:rPr>
        <w:t xml:space="preserve">In the event of cancellation of the proposal procedure, EIT Urban Mobility will notify the tenderers of the cancellation. </w:t>
      </w:r>
      <w:r w:rsidRPr="004A13E8">
        <w:rPr>
          <w:rFonts w:cs="Calibri Light"/>
          <w:bCs/>
        </w:rPr>
        <w:t xml:space="preserve">In no event shall </w:t>
      </w:r>
      <w:r w:rsidRPr="004A13E8">
        <w:rPr>
          <w:rFonts w:cs="Calibri Light"/>
        </w:rPr>
        <w:t xml:space="preserve">EIT Urban Mobility </w:t>
      </w:r>
      <w:r w:rsidRPr="004A13E8">
        <w:rPr>
          <w:rFonts w:cs="Calibri Light"/>
          <w:bCs/>
        </w:rPr>
        <w:t xml:space="preserve">be liable for any damages whatsoever including, without limitation, </w:t>
      </w:r>
      <w:r w:rsidRPr="004A13E8">
        <w:rPr>
          <w:rFonts w:cs="Calibri Light"/>
          <w:bCs/>
        </w:rPr>
        <w:lastRenderedPageBreak/>
        <w:t xml:space="preserve">damages for loss of profits, in any way connected with the cancellation of a proposal procedure, even if </w:t>
      </w:r>
      <w:r w:rsidRPr="004A13E8">
        <w:rPr>
          <w:rFonts w:cs="Calibri Light"/>
        </w:rPr>
        <w:t xml:space="preserve">EIT Urban Mobility </w:t>
      </w:r>
      <w:r w:rsidRPr="004A13E8">
        <w:rPr>
          <w:rFonts w:cs="Calibri Light"/>
          <w:bCs/>
        </w:rPr>
        <w:t xml:space="preserve">has been advised of the possibility of damages. </w:t>
      </w:r>
    </w:p>
    <w:p w14:paraId="5FE84373" w14:textId="46F30429" w:rsidR="007A4EF2" w:rsidRPr="00933DD0" w:rsidRDefault="1AE3A701" w:rsidP="007A4EF2">
      <w:pPr>
        <w:pStyle w:val="Heading2"/>
        <w:ind w:left="0" w:right="1282"/>
        <w:jc w:val="both"/>
        <w:rPr>
          <w:rFonts w:eastAsia="Times New Roman" w:cs="Calibri Light"/>
          <w:b w:val="0"/>
          <w:bCs w:val="0"/>
          <w:lang w:eastAsia="sv-SE"/>
        </w:rPr>
      </w:pPr>
      <w:bookmarkStart w:id="51" w:name="_Toc971444518"/>
      <w:bookmarkStart w:id="52" w:name="_Toc206684771"/>
      <w:r w:rsidRPr="7295751F">
        <w:rPr>
          <w:rFonts w:eastAsia="Times New Roman" w:cs="Calibri Light"/>
          <w:b w:val="0"/>
          <w:bCs w:val="0"/>
          <w:lang w:eastAsia="sv-SE"/>
        </w:rPr>
        <w:t>4.6. Appeals / Complains</w:t>
      </w:r>
      <w:bookmarkEnd w:id="51"/>
      <w:bookmarkEnd w:id="52"/>
    </w:p>
    <w:p w14:paraId="5D3AAB54" w14:textId="77777777" w:rsidR="007A4EF2" w:rsidRPr="004A13E8" w:rsidRDefault="007A4EF2" w:rsidP="007A4EF2">
      <w:pPr>
        <w:spacing w:before="120" w:after="120"/>
        <w:jc w:val="both"/>
        <w:rPr>
          <w:rFonts w:cs="Calibri Light"/>
          <w:szCs w:val="20"/>
        </w:rPr>
      </w:pPr>
      <w:r w:rsidRPr="004A13E8">
        <w:rPr>
          <w:rFonts w:cs="Calibri Light"/>
          <w:szCs w:val="20"/>
        </w:rPr>
        <w:t xml:space="preserve">Tenderers believing that it has been harmed by an error or irregularity during the award process may file a complaint. Appeal should be addressed to </w:t>
      </w:r>
      <w:r w:rsidRPr="004A13E8">
        <w:rPr>
          <w:rFonts w:cs="Calibri Light"/>
        </w:rPr>
        <w:t>EIT Urban Mobility</w:t>
      </w:r>
      <w:r w:rsidRPr="004A13E8">
        <w:rPr>
          <w:rFonts w:cs="Calibri Light"/>
          <w:szCs w:val="20"/>
        </w:rPr>
        <w:t xml:space="preserve">. The tenderer has 3 days to file their complaint from the receipt of the letter of notification of award. </w:t>
      </w:r>
    </w:p>
    <w:p w14:paraId="5B64717C" w14:textId="46EE0C32" w:rsidR="007A4EF2" w:rsidRPr="00933DD0" w:rsidRDefault="1AE3A701" w:rsidP="007A4EF2">
      <w:pPr>
        <w:pStyle w:val="Heading2"/>
        <w:ind w:left="0" w:right="1282"/>
        <w:jc w:val="both"/>
        <w:rPr>
          <w:rFonts w:eastAsia="Times New Roman" w:cs="Calibri Light"/>
          <w:b w:val="0"/>
          <w:bCs w:val="0"/>
          <w:lang w:eastAsia="sv-SE"/>
        </w:rPr>
      </w:pPr>
      <w:bookmarkStart w:id="53" w:name="_Toc2120579578"/>
      <w:bookmarkStart w:id="54" w:name="_Toc206684772"/>
      <w:r w:rsidRPr="7295751F">
        <w:rPr>
          <w:rFonts w:eastAsia="Times New Roman" w:cs="Calibri Light"/>
          <w:b w:val="0"/>
          <w:bCs w:val="0"/>
          <w:lang w:eastAsia="sv-SE"/>
        </w:rPr>
        <w:t>4.7. Ethics clauses / Corruptive practices</w:t>
      </w:r>
      <w:bookmarkEnd w:id="53"/>
      <w:bookmarkEnd w:id="54"/>
    </w:p>
    <w:p w14:paraId="3ED17CEC" w14:textId="77777777" w:rsidR="007A4EF2" w:rsidRPr="004A13E8" w:rsidRDefault="007A4EF2" w:rsidP="007A4EF2">
      <w:pPr>
        <w:spacing w:before="120" w:after="120"/>
        <w:jc w:val="both"/>
        <w:rPr>
          <w:rFonts w:cs="Calibri Light"/>
          <w:szCs w:val="20"/>
        </w:rPr>
      </w:pPr>
      <w:r w:rsidRPr="004A13E8">
        <w:rPr>
          <w:rFonts w:cs="Calibri Light"/>
        </w:rPr>
        <w:t>EIT Urban Mobility</w:t>
      </w:r>
      <w:r w:rsidRPr="004A13E8">
        <w:rPr>
          <w:rFonts w:cs="Calibri Light"/>
          <w:szCs w:val="20"/>
        </w:rPr>
        <w:t xml:space="preserve"> reserves the right to suspend or cancel the procedure, where the award procedure proves to have been subject to substantial errors, irregularities, or fraud. If substantial errors, irregularities, or fraud are discovered after the award of the Contract, </w:t>
      </w:r>
      <w:r w:rsidRPr="004A13E8">
        <w:rPr>
          <w:rFonts w:cs="Calibri Light"/>
        </w:rPr>
        <w:t xml:space="preserve">EIT Urban Mobility </w:t>
      </w:r>
      <w:r w:rsidRPr="004A13E8">
        <w:rPr>
          <w:rFonts w:cs="Calibri Light"/>
          <w:szCs w:val="20"/>
        </w:rPr>
        <w:t>may refrain from concluding the Contract.</w:t>
      </w:r>
    </w:p>
    <w:p w14:paraId="05B24FB7" w14:textId="77777777" w:rsidR="007A4EF2" w:rsidRDefault="254F6AA6" w:rsidP="2EB00308">
      <w:pPr>
        <w:spacing w:before="120" w:after="120"/>
        <w:jc w:val="both"/>
        <w:rPr>
          <w:rFonts w:cs="Calibri Light"/>
        </w:rPr>
      </w:pPr>
      <w:r w:rsidRPr="023F6FEC">
        <w:rPr>
          <w:rFonts w:cs="Calibri Light"/>
        </w:rPr>
        <w:t xml:space="preserve">The suppliers shall take all measures to prevent any situation where the impartial and objective implementation of the contract is compromised for reasons involving economic interest, political or national affinity, family or emotional ties or any other shared interest (‘conflict of interests’). He should inform EIT Urban Mobility immediately if there is any change in the above circumstances at any stage during the implementation of the tasks. </w:t>
      </w:r>
    </w:p>
    <w:p w14:paraId="068675BF" w14:textId="0588CB06" w:rsidR="00727E66" w:rsidRPr="004A13E8" w:rsidRDefault="009647E3" w:rsidP="00F568E9">
      <w:pPr>
        <w:spacing w:before="120" w:after="120"/>
        <w:jc w:val="both"/>
        <w:rPr>
          <w:rFonts w:cs="Calibri Light"/>
          <w:szCs w:val="20"/>
        </w:rPr>
      </w:pPr>
      <w:r>
        <w:rPr>
          <w:rFonts w:cs="Calibri Light"/>
          <w:szCs w:val="20"/>
        </w:rPr>
        <w:t>Up to two proposed experts</w:t>
      </w:r>
      <w:r w:rsidR="00727E66" w:rsidRPr="00F568E9">
        <w:rPr>
          <w:rFonts w:cs="Calibri Light"/>
          <w:szCs w:val="20"/>
        </w:rPr>
        <w:t xml:space="preserve"> will be appointed for the full duration of the services as the EIT Community Officer, and the appointed expert</w:t>
      </w:r>
      <w:r>
        <w:rPr>
          <w:rFonts w:cs="Calibri Light"/>
          <w:szCs w:val="20"/>
        </w:rPr>
        <w:t>(s)</w:t>
      </w:r>
      <w:r w:rsidR="00727E66" w:rsidRPr="00F568E9">
        <w:rPr>
          <w:rFonts w:cs="Calibri Light"/>
          <w:szCs w:val="20"/>
        </w:rPr>
        <w:t xml:space="preserve"> should fulfil the eligibility requirements listed under point 3.5. With reference to expert replacement for the ECO position initiated by the sub-contractor, the newly proposed </w:t>
      </w:r>
      <w:r>
        <w:rPr>
          <w:rFonts w:cs="Calibri Light"/>
          <w:szCs w:val="20"/>
        </w:rPr>
        <w:t>expert</w:t>
      </w:r>
      <w:r w:rsidR="00727E66" w:rsidRPr="00F568E9">
        <w:rPr>
          <w:rFonts w:cs="Calibri Light"/>
          <w:szCs w:val="20"/>
        </w:rPr>
        <w:t xml:space="preserve"> must also fulfil the eligibility criteria under point </w:t>
      </w:r>
      <w:r w:rsidR="00727E66" w:rsidRPr="00F568E9">
        <w:rPr>
          <w:rFonts w:cs="Calibri Light"/>
          <w:i/>
          <w:iCs/>
          <w:szCs w:val="20"/>
        </w:rPr>
        <w:t>3.5 of the relevant pre-qualification notice</w:t>
      </w:r>
      <w:r w:rsidR="00727E66" w:rsidRPr="00F568E9">
        <w:rPr>
          <w:rFonts w:cs="Calibri Light"/>
          <w:szCs w:val="20"/>
        </w:rPr>
        <w:t>. Approval of the replacement request on the EIT Community Officer is the exclusive right of the Contracting Authority upon receiving the opinion of the Steering Committee of the SRI cluster.</w:t>
      </w:r>
    </w:p>
    <w:p w14:paraId="281F2CF8" w14:textId="4C3FA583" w:rsidR="007A4EF2" w:rsidRPr="00933DD0" w:rsidRDefault="1AE3A701" w:rsidP="007A4EF2">
      <w:pPr>
        <w:pStyle w:val="Heading2"/>
        <w:ind w:left="0" w:right="1282"/>
        <w:jc w:val="both"/>
        <w:rPr>
          <w:rFonts w:eastAsia="Times New Roman" w:cs="Calibri Light"/>
          <w:b w:val="0"/>
          <w:bCs w:val="0"/>
          <w:lang w:eastAsia="sv-SE"/>
        </w:rPr>
      </w:pPr>
      <w:bookmarkStart w:id="55" w:name="_Toc1027049839"/>
      <w:bookmarkStart w:id="56" w:name="_Toc206684773"/>
      <w:r w:rsidRPr="7295751F">
        <w:rPr>
          <w:rFonts w:eastAsia="Times New Roman" w:cs="Calibri Light"/>
          <w:b w:val="0"/>
          <w:bCs w:val="0"/>
          <w:lang w:eastAsia="sv-SE"/>
        </w:rPr>
        <w:t>4.8. Safeguarding of EU’s financial interest</w:t>
      </w:r>
      <w:bookmarkEnd w:id="55"/>
      <w:bookmarkEnd w:id="56"/>
    </w:p>
    <w:p w14:paraId="4073ACEC" w14:textId="77777777" w:rsidR="007A4EF2" w:rsidRPr="004A13E8" w:rsidRDefault="007A4EF2" w:rsidP="007A4EF2">
      <w:pPr>
        <w:spacing w:before="120" w:after="120"/>
        <w:jc w:val="both"/>
        <w:rPr>
          <w:rFonts w:cs="Calibri Light"/>
          <w:lang w:eastAsia="sv-SE"/>
        </w:rPr>
      </w:pPr>
      <w:r w:rsidRPr="004A13E8">
        <w:rPr>
          <w:rFonts w:eastAsia="Calibri" w:cs="Calibri Light"/>
          <w:color w:val="000000"/>
          <w:szCs w:val="20"/>
          <w:lang w:eastAsia="sv-SE"/>
        </w:rPr>
        <w:t xml:space="preserve">The potential or actual supplier should accept that during the implementation of the contract and for four years after the completion of the contract, EIT Urban Mobility has the right for the purposes of safeguarding the EU’s financial interests, the proposal and the contract of the supplier may be transferred to internal audit services, EIT, to the European Court of Auditors, to the Financial Irregularities Panel or to the European Anti-Fraud Office. </w:t>
      </w:r>
    </w:p>
    <w:p w14:paraId="23EFE29D" w14:textId="42895F3C" w:rsidR="007A4EF2" w:rsidRPr="006C4242" w:rsidRDefault="10D0A46E" w:rsidP="44221130">
      <w:pPr>
        <w:pStyle w:val="EITUMHeading1"/>
        <w:pageBreakBefore/>
        <w:numPr>
          <w:ilvl w:val="0"/>
          <w:numId w:val="0"/>
        </w:numPr>
        <w:ind w:left="714"/>
        <w:rPr>
          <w:highlight w:val="yellow"/>
        </w:rPr>
      </w:pPr>
      <w:bookmarkStart w:id="57" w:name="_Toc198706971"/>
      <w:bookmarkStart w:id="58" w:name="_Toc206684774"/>
      <w:bookmarkStart w:id="59" w:name="_Hlk206758075"/>
      <w:bookmarkEnd w:id="5"/>
      <w:r>
        <w:lastRenderedPageBreak/>
        <w:t>Annex 1.</w:t>
      </w:r>
      <w:r w:rsidR="00720262">
        <w:t>1</w:t>
      </w:r>
      <w:r>
        <w:t xml:space="preserve"> </w:t>
      </w:r>
      <w:r w:rsidR="7B1618D5">
        <w:t xml:space="preserve"> </w:t>
      </w:r>
      <w:r w:rsidR="1AE3A701">
        <w:t>Service Agreement</w:t>
      </w:r>
      <w:bookmarkEnd w:id="57"/>
      <w:r w:rsidR="00761915">
        <w:t xml:space="preserve"> for 2025</w:t>
      </w:r>
      <w:bookmarkEnd w:id="58"/>
    </w:p>
    <w:p w14:paraId="47168D10" w14:textId="77777777" w:rsidR="009703CB" w:rsidRPr="009703CB" w:rsidRDefault="009703CB" w:rsidP="009703CB">
      <w:pPr>
        <w:spacing w:before="240" w:after="0" w:line="276" w:lineRule="auto"/>
        <w:ind w:right="-1"/>
        <w:rPr>
          <w:rFonts w:eastAsia="MS Mincho" w:cs="Calibri Light"/>
          <w:b/>
          <w:color w:val="229D01"/>
          <w:sz w:val="22"/>
          <w:lang w:eastAsia="ja-JP"/>
        </w:rPr>
      </w:pPr>
    </w:p>
    <w:p w14:paraId="6D857121" w14:textId="77777777" w:rsidR="00D51839" w:rsidRPr="0069653C" w:rsidRDefault="00D51839" w:rsidP="00D51839">
      <w:pPr>
        <w:spacing w:before="240" w:after="0" w:line="276" w:lineRule="auto"/>
        <w:ind w:right="-1"/>
        <w:jc w:val="both"/>
        <w:rPr>
          <w:rFonts w:eastAsia="Calibri" w:cs="Calibri"/>
          <w:b/>
          <w:bCs/>
          <w:color w:val="229D01"/>
          <w:sz w:val="22"/>
        </w:rPr>
      </w:pPr>
      <w:bookmarkStart w:id="60" w:name="_Toc253563372"/>
      <w:r w:rsidRPr="0069653C">
        <w:rPr>
          <w:rFonts w:eastAsia="Calibri" w:cs="Calibri"/>
          <w:b/>
          <w:bCs/>
          <w:color w:val="229D01"/>
          <w:sz w:val="22"/>
        </w:rPr>
        <w:t>This Service Agreement (“Agreement”) is hereby made by and between:</w:t>
      </w:r>
    </w:p>
    <w:p w14:paraId="3352038A" w14:textId="77777777" w:rsidR="00D51839" w:rsidRPr="0069653C" w:rsidRDefault="00D51839" w:rsidP="00D51839">
      <w:pPr>
        <w:spacing w:before="240" w:after="0" w:line="276" w:lineRule="auto"/>
        <w:ind w:right="-1"/>
        <w:jc w:val="both"/>
        <w:rPr>
          <w:rFonts w:eastAsia="Calibri" w:cs="Times New Roman"/>
          <w:b/>
          <w:bCs/>
          <w:color w:val="auto"/>
          <w:sz w:val="22"/>
        </w:rPr>
      </w:pPr>
    </w:p>
    <w:p w14:paraId="6C5E850B"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bookmarkStart w:id="61" w:name="_Hlk205560398"/>
      <w:r w:rsidRPr="00ED36B4">
        <w:rPr>
          <w:rFonts w:eastAsia="Times New Roman" w:cs="Calibri Light"/>
          <w:b/>
          <w:bCs/>
          <w:color w:val="auto"/>
          <w:sz w:val="22"/>
          <w:lang w:eastAsia="en-GB"/>
        </w:rPr>
        <w:t>EIT KIC URBAN MOBILITY S.L.U,</w:t>
      </w:r>
      <w:r w:rsidRPr="00ED36B4">
        <w:rPr>
          <w:rFonts w:eastAsia="Times New Roman" w:cs="Calibri Light"/>
          <w:b/>
          <w:bCs/>
          <w:color w:val="229D01"/>
          <w:sz w:val="22"/>
          <w:lang w:eastAsia="en-GB"/>
        </w:rPr>
        <w:t xml:space="preserve"> </w:t>
      </w:r>
      <w:r w:rsidRPr="00ED36B4">
        <w:rPr>
          <w:rFonts w:eastAsia="Times New Roman" w:cs="Calibri Light"/>
          <w:color w:val="auto"/>
          <w:sz w:val="22"/>
          <w:lang w:eastAsia="en-GB"/>
        </w:rPr>
        <w:t>a private limited company, having its registered office and place of business at Pamplona 104, 08018, Barcelona, Spain, with VAT number B67513630, legally represented herein by Francisco Ibáñez, acting as CFO of the company (hereinafter referred to as “</w:t>
      </w:r>
      <w:r w:rsidRPr="00ED36B4">
        <w:rPr>
          <w:rFonts w:eastAsia="Times New Roman" w:cs="Calibri Light"/>
          <w:b/>
          <w:bCs/>
          <w:color w:val="auto"/>
          <w:sz w:val="22"/>
          <w:lang w:eastAsia="en-GB"/>
        </w:rPr>
        <w:t>EIT UM</w:t>
      </w:r>
      <w:r w:rsidRPr="00ED36B4">
        <w:rPr>
          <w:rFonts w:eastAsia="Times New Roman" w:cs="Calibri Light"/>
          <w:color w:val="auto"/>
          <w:sz w:val="22"/>
          <w:lang w:eastAsia="en-GB"/>
        </w:rPr>
        <w:t>”) </w:t>
      </w:r>
    </w:p>
    <w:p w14:paraId="0122F4E1" w14:textId="77777777" w:rsidR="00D51839" w:rsidRPr="00ED36B4" w:rsidRDefault="00D51839" w:rsidP="00D51839">
      <w:pPr>
        <w:spacing w:after="0" w:line="240" w:lineRule="auto"/>
        <w:ind w:left="420" w:right="-15" w:hanging="420"/>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and </w:t>
      </w:r>
    </w:p>
    <w:p w14:paraId="35191536"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1E4F784F"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r w:rsidRPr="00ED36B4">
        <w:rPr>
          <w:rFonts w:eastAsia="Times New Roman" w:cs="Calibri Light"/>
          <w:b/>
          <w:bCs/>
          <w:color w:val="000000"/>
          <w:sz w:val="22"/>
          <w:shd w:val="clear" w:color="auto" w:fill="FFFF00"/>
          <w:lang w:val="hu-HU" w:eastAsia="en-GB"/>
        </w:rPr>
        <w:t>[·]</w:t>
      </w:r>
      <w:r w:rsidRPr="00ED36B4">
        <w:rPr>
          <w:rFonts w:eastAsia="Times New Roman" w:cs="Calibri Light"/>
          <w:b/>
          <w:bCs/>
          <w:color w:val="229D01"/>
          <w:sz w:val="22"/>
          <w:shd w:val="clear" w:color="auto" w:fill="FFFFFF"/>
          <w:lang w:val="hu-HU" w:eastAsia="en-GB"/>
        </w:rPr>
        <w:t xml:space="preserve"> </w:t>
      </w:r>
      <w:r w:rsidRPr="00ED36B4">
        <w:rPr>
          <w:rFonts w:eastAsia="Times New Roman" w:cs="Calibri Light"/>
          <w:color w:val="000000"/>
          <w:sz w:val="22"/>
          <w:shd w:val="clear" w:color="auto" w:fill="FFFFFF"/>
          <w:lang w:eastAsia="en-GB"/>
        </w:rPr>
        <w:t xml:space="preserve">a private limited company, having its registered office and place of business at </w:t>
      </w:r>
      <w:r w:rsidRPr="00ED36B4">
        <w:rPr>
          <w:rFonts w:eastAsia="Times New Roman" w:cs="Calibri Light"/>
          <w:color w:val="000000"/>
          <w:sz w:val="22"/>
          <w:shd w:val="clear" w:color="auto" w:fill="FFFF00"/>
          <w:lang w:val="hu-HU" w:eastAsia="en-GB"/>
        </w:rPr>
        <w:t>[·]</w:t>
      </w:r>
      <w:r w:rsidRPr="00ED36B4">
        <w:rPr>
          <w:rFonts w:eastAsia="Times New Roman" w:cs="Calibri Light"/>
          <w:color w:val="000000"/>
          <w:sz w:val="22"/>
          <w:shd w:val="clear" w:color="auto" w:fill="FFFFFF"/>
          <w:lang w:eastAsia="en-GB"/>
        </w:rPr>
        <w:t xml:space="preserve">, with company registration number </w:t>
      </w:r>
      <w:r w:rsidRPr="00ED36B4">
        <w:rPr>
          <w:rFonts w:eastAsia="Times New Roman" w:cs="Calibri Light"/>
          <w:color w:val="000000"/>
          <w:sz w:val="22"/>
          <w:shd w:val="clear" w:color="auto" w:fill="FFFF00"/>
          <w:lang w:val="hu-HU" w:eastAsia="en-GB"/>
        </w:rPr>
        <w:t>[·]</w:t>
      </w:r>
      <w:r w:rsidRPr="00ED36B4">
        <w:rPr>
          <w:rFonts w:eastAsia="Times New Roman" w:cs="Calibri Light"/>
          <w:color w:val="000000"/>
          <w:sz w:val="22"/>
          <w:shd w:val="clear" w:color="auto" w:fill="FFFFFF"/>
          <w:lang w:eastAsia="en-GB"/>
        </w:rPr>
        <w:t xml:space="preserve"> and VAT number </w:t>
      </w:r>
      <w:r w:rsidRPr="00ED36B4">
        <w:rPr>
          <w:rFonts w:eastAsia="Times New Roman" w:cs="Calibri Light"/>
          <w:color w:val="000000"/>
          <w:sz w:val="22"/>
          <w:shd w:val="clear" w:color="auto" w:fill="FFFF00"/>
          <w:lang w:val="hu-HU" w:eastAsia="en-GB"/>
        </w:rPr>
        <w:t>[·]</w:t>
      </w:r>
      <w:r w:rsidRPr="00ED36B4">
        <w:rPr>
          <w:rFonts w:eastAsia="Times New Roman" w:cs="Calibri Light"/>
          <w:color w:val="000000"/>
          <w:sz w:val="22"/>
          <w:shd w:val="clear" w:color="auto" w:fill="FFFFFF"/>
          <w:lang w:eastAsia="en-GB"/>
        </w:rPr>
        <w:t xml:space="preserve"> legally represented herein by </w:t>
      </w:r>
      <w:r w:rsidRPr="00ED36B4">
        <w:rPr>
          <w:rFonts w:eastAsia="Times New Roman" w:cs="Calibri Light"/>
          <w:color w:val="000000"/>
          <w:sz w:val="22"/>
          <w:shd w:val="clear" w:color="auto" w:fill="FFFF00"/>
          <w:lang w:eastAsia="en-GB"/>
        </w:rPr>
        <w:t>[·]</w:t>
      </w:r>
      <w:r w:rsidRPr="00ED36B4">
        <w:rPr>
          <w:rFonts w:eastAsia="Times New Roman" w:cs="Calibri Light"/>
          <w:color w:val="000000"/>
          <w:sz w:val="22"/>
          <w:shd w:val="clear" w:color="auto" w:fill="FFFFFF"/>
          <w:lang w:eastAsia="en-GB"/>
        </w:rPr>
        <w:t xml:space="preserve"> acting as legal representative (hereinafter referred to as </w:t>
      </w:r>
      <w:r w:rsidRPr="00ED36B4">
        <w:rPr>
          <w:rFonts w:eastAsia="Times New Roman" w:cs="Calibri Light"/>
          <w:color w:val="000000"/>
          <w:sz w:val="22"/>
          <w:shd w:val="clear" w:color="auto" w:fill="FFFFFF"/>
          <w:lang w:val="hu-HU" w:eastAsia="en-GB"/>
        </w:rPr>
        <w:t xml:space="preserve">the </w:t>
      </w:r>
      <w:r w:rsidRPr="00ED36B4">
        <w:rPr>
          <w:rFonts w:eastAsia="Times New Roman" w:cs="Calibri Light"/>
          <w:color w:val="000000"/>
          <w:sz w:val="22"/>
          <w:shd w:val="clear" w:color="auto" w:fill="FFFFFF"/>
          <w:lang w:eastAsia="en-GB"/>
        </w:rPr>
        <w:t>“</w:t>
      </w:r>
      <w:r w:rsidRPr="00ED36B4">
        <w:rPr>
          <w:rFonts w:eastAsia="Times New Roman" w:cs="Calibri Light"/>
          <w:b/>
          <w:bCs/>
          <w:color w:val="000000"/>
          <w:sz w:val="22"/>
          <w:shd w:val="clear" w:color="auto" w:fill="FFFFFF"/>
          <w:lang w:val="hu-HU" w:eastAsia="en-GB"/>
        </w:rPr>
        <w:t>Supplier</w:t>
      </w:r>
      <w:r w:rsidRPr="00ED36B4">
        <w:rPr>
          <w:rFonts w:eastAsia="Times New Roman" w:cs="Calibri Light"/>
          <w:color w:val="000000"/>
          <w:sz w:val="22"/>
          <w:shd w:val="clear" w:color="auto" w:fill="FFFFFF"/>
          <w:lang w:val="hu-HU" w:eastAsia="en-GB"/>
        </w:rPr>
        <w:t>”). </w:t>
      </w:r>
      <w:r w:rsidRPr="00ED36B4">
        <w:rPr>
          <w:rFonts w:eastAsia="Times New Roman" w:cs="Calibri Light"/>
          <w:color w:val="000000"/>
          <w:sz w:val="22"/>
          <w:lang w:eastAsia="en-GB"/>
        </w:rPr>
        <w:t> </w:t>
      </w:r>
    </w:p>
    <w:p w14:paraId="69C73CCF"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1B74CC0C"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Hereinafter jointly referred to as the “</w:t>
      </w:r>
      <w:r w:rsidRPr="00ED36B4">
        <w:rPr>
          <w:rFonts w:eastAsia="Times New Roman" w:cs="Calibri Light"/>
          <w:b/>
          <w:bCs/>
          <w:color w:val="auto"/>
          <w:sz w:val="22"/>
          <w:lang w:eastAsia="en-GB"/>
        </w:rPr>
        <w:t>Parties”</w:t>
      </w:r>
      <w:r w:rsidRPr="00ED36B4">
        <w:rPr>
          <w:rFonts w:eastAsia="Times New Roman" w:cs="Calibri Light"/>
          <w:color w:val="auto"/>
          <w:sz w:val="22"/>
          <w:lang w:eastAsia="en-GB"/>
        </w:rPr>
        <w:t xml:space="preserve"> or individually as a “</w:t>
      </w:r>
      <w:r w:rsidRPr="00ED36B4">
        <w:rPr>
          <w:rFonts w:eastAsia="Times New Roman" w:cs="Calibri Light"/>
          <w:b/>
          <w:bCs/>
          <w:color w:val="auto"/>
          <w:sz w:val="22"/>
          <w:lang w:eastAsia="en-GB"/>
        </w:rPr>
        <w:t>Party</w:t>
      </w:r>
      <w:r w:rsidRPr="00ED36B4">
        <w:rPr>
          <w:rFonts w:eastAsia="Times New Roman" w:cs="Calibri Light"/>
          <w:color w:val="auto"/>
          <w:sz w:val="22"/>
          <w:lang w:eastAsia="en-GB"/>
        </w:rPr>
        <w:t>”. </w:t>
      </w:r>
    </w:p>
    <w:p w14:paraId="6AC4A74C"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1552FEA1" w14:textId="77777777" w:rsidR="00D51839" w:rsidRPr="00ED36B4" w:rsidRDefault="00D51839" w:rsidP="00D51839">
      <w:pPr>
        <w:spacing w:after="0" w:line="240" w:lineRule="auto"/>
        <w:textAlignment w:val="baseline"/>
        <w:rPr>
          <w:rFonts w:ascii="Segoe UI" w:eastAsia="Times New Roman" w:hAnsi="Segoe UI" w:cs="Segoe UI"/>
          <w:color w:val="auto"/>
          <w:sz w:val="18"/>
          <w:szCs w:val="18"/>
          <w:lang w:eastAsia="en-GB"/>
        </w:rPr>
      </w:pPr>
      <w:r w:rsidRPr="00ED36B4">
        <w:rPr>
          <w:rFonts w:eastAsia="Times New Roman" w:cs="Calibri Light"/>
          <w:b/>
          <w:bCs/>
          <w:color w:val="229D01"/>
          <w:sz w:val="22"/>
          <w:lang w:eastAsia="en-GB"/>
        </w:rPr>
        <w:t>WHEREAS:</w:t>
      </w:r>
      <w:r w:rsidRPr="00ED36B4">
        <w:rPr>
          <w:rFonts w:eastAsia="Times New Roman" w:cs="Calibri Light"/>
          <w:color w:val="229D01"/>
          <w:sz w:val="22"/>
          <w:lang w:eastAsia="en-GB"/>
        </w:rPr>
        <w:t> </w:t>
      </w:r>
    </w:p>
    <w:p w14:paraId="2BFF2F3F" w14:textId="77777777" w:rsidR="00D51839" w:rsidRDefault="00D51839" w:rsidP="00D51839">
      <w:pPr>
        <w:numPr>
          <w:ilvl w:val="0"/>
          <w:numId w:val="49"/>
        </w:numPr>
        <w:spacing w:after="0" w:line="240" w:lineRule="auto"/>
        <w:ind w:left="709"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EIT UM is an entity that aims to encourage positive changes in the way people move around cities in order to make them more liveable places by creating systemic solutions that will move more people around the city more efficiently and free up public space, ringing all key players in urban mobility together to avoid fragmentation, and engaging cities and citizens from the beginning, giving them the opportunity to become true agents of change. </w:t>
      </w:r>
    </w:p>
    <w:p w14:paraId="77C445AC" w14:textId="77777777" w:rsidR="00D51839" w:rsidRPr="00ED36B4" w:rsidRDefault="00D51839" w:rsidP="00D51839">
      <w:pPr>
        <w:spacing w:after="0" w:line="240" w:lineRule="auto"/>
        <w:ind w:left="709"/>
        <w:jc w:val="both"/>
        <w:textAlignment w:val="baseline"/>
        <w:rPr>
          <w:rFonts w:eastAsia="Times New Roman" w:cs="Calibri Light"/>
          <w:color w:val="auto"/>
          <w:sz w:val="22"/>
          <w:lang w:eastAsia="en-GB"/>
        </w:rPr>
      </w:pPr>
    </w:p>
    <w:p w14:paraId="3FB1C3C2" w14:textId="77777777" w:rsidR="00D51839" w:rsidRPr="00ED36B4" w:rsidRDefault="00D51839" w:rsidP="00D51839">
      <w:pPr>
        <w:numPr>
          <w:ilvl w:val="0"/>
          <w:numId w:val="50"/>
        </w:numPr>
        <w:spacing w:after="0" w:line="240" w:lineRule="auto"/>
        <w:ind w:left="709" w:firstLine="0"/>
        <w:jc w:val="both"/>
        <w:textAlignment w:val="baseline"/>
        <w:rPr>
          <w:rFonts w:eastAsia="Times New Roman" w:cs="Calibri Light"/>
          <w:color w:val="auto"/>
          <w:sz w:val="24"/>
          <w:szCs w:val="24"/>
          <w:lang w:eastAsia="en-GB"/>
        </w:rPr>
      </w:pPr>
      <w:r w:rsidRPr="00ED36B4">
        <w:rPr>
          <w:rFonts w:eastAsia="Times New Roman" w:cs="Calibri Light"/>
          <w:color w:val="auto"/>
          <w:sz w:val="22"/>
          <w:lang w:eastAsia="en-GB"/>
        </w:rPr>
        <w:t xml:space="preserve">EIT UM has launched a tender for the provision of </w:t>
      </w:r>
      <w:r w:rsidRPr="00ED36B4">
        <w:rPr>
          <w:rFonts w:eastAsia="Times New Roman" w:cs="Calibri Light"/>
          <w:color w:val="auto"/>
          <w:sz w:val="22"/>
          <w:shd w:val="clear" w:color="auto" w:fill="FFFF00"/>
          <w:lang w:eastAsia="en-GB"/>
        </w:rPr>
        <w:t>[...]</w:t>
      </w:r>
      <w:r w:rsidRPr="00ED36B4">
        <w:rPr>
          <w:rFonts w:eastAsia="Times New Roman" w:cs="Calibri Light"/>
          <w:color w:val="auto"/>
          <w:sz w:val="22"/>
          <w:lang w:eastAsia="en-GB"/>
        </w:rPr>
        <w:t xml:space="preserve"> (the "</w:t>
      </w:r>
      <w:r w:rsidRPr="00ED36B4">
        <w:rPr>
          <w:rFonts w:eastAsia="Times New Roman" w:cs="Calibri Light"/>
          <w:b/>
          <w:bCs/>
          <w:color w:val="auto"/>
          <w:sz w:val="22"/>
          <w:lang w:eastAsia="en-GB"/>
        </w:rPr>
        <w:t>Tender</w:t>
      </w:r>
      <w:r w:rsidRPr="00ED36B4">
        <w:rPr>
          <w:rFonts w:eastAsia="Times New Roman" w:cs="Calibri Light"/>
          <w:color w:val="auto"/>
          <w:sz w:val="22"/>
          <w:lang w:eastAsia="en-GB"/>
        </w:rPr>
        <w:t>"). </w:t>
      </w:r>
    </w:p>
    <w:p w14:paraId="21AFAF16" w14:textId="77777777" w:rsidR="00D51839" w:rsidRPr="00ED36B4" w:rsidRDefault="00D51839" w:rsidP="00D51839">
      <w:pPr>
        <w:spacing w:after="0" w:line="240" w:lineRule="auto"/>
        <w:ind w:left="709"/>
        <w:jc w:val="both"/>
        <w:textAlignment w:val="baseline"/>
        <w:rPr>
          <w:rFonts w:eastAsia="Times New Roman" w:cs="Calibri Light"/>
          <w:color w:val="auto"/>
          <w:sz w:val="24"/>
          <w:szCs w:val="24"/>
          <w:lang w:eastAsia="en-GB"/>
        </w:rPr>
      </w:pPr>
    </w:p>
    <w:p w14:paraId="6BDCAF03" w14:textId="77777777" w:rsidR="00D51839" w:rsidRDefault="00D51839" w:rsidP="00D51839">
      <w:pPr>
        <w:numPr>
          <w:ilvl w:val="0"/>
          <w:numId w:val="51"/>
        </w:numPr>
        <w:spacing w:after="0" w:line="240" w:lineRule="auto"/>
        <w:ind w:left="709"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is a company specialized in the field of the Tender. </w:t>
      </w:r>
    </w:p>
    <w:p w14:paraId="0C3305FF" w14:textId="77777777" w:rsidR="00D51839" w:rsidRPr="00ED36B4" w:rsidRDefault="00D51839" w:rsidP="00D51839">
      <w:pPr>
        <w:spacing w:after="0" w:line="240" w:lineRule="auto"/>
        <w:ind w:left="709"/>
        <w:jc w:val="both"/>
        <w:textAlignment w:val="baseline"/>
        <w:rPr>
          <w:rFonts w:eastAsia="Times New Roman" w:cs="Calibri Light"/>
          <w:color w:val="auto"/>
          <w:sz w:val="22"/>
          <w:lang w:eastAsia="en-GB"/>
        </w:rPr>
      </w:pPr>
    </w:p>
    <w:p w14:paraId="05681513" w14:textId="17D6E4DB" w:rsidR="00D51839" w:rsidRPr="00D51839" w:rsidRDefault="00D51839" w:rsidP="00D51839">
      <w:pPr>
        <w:numPr>
          <w:ilvl w:val="0"/>
          <w:numId w:val="52"/>
        </w:numPr>
        <w:spacing w:after="0" w:line="240" w:lineRule="auto"/>
        <w:ind w:left="709" w:firstLine="0"/>
        <w:jc w:val="both"/>
        <w:textAlignment w:val="baseline"/>
        <w:rPr>
          <w:rFonts w:eastAsia="Times New Roman" w:cs="Calibri Light"/>
          <w:color w:val="auto"/>
          <w:sz w:val="24"/>
          <w:szCs w:val="24"/>
          <w:lang w:eastAsia="en-GB"/>
        </w:rPr>
      </w:pPr>
      <w:r w:rsidRPr="00ED36B4">
        <w:rPr>
          <w:rFonts w:eastAsia="Times New Roman" w:cs="Calibri Light"/>
          <w:color w:val="auto"/>
          <w:sz w:val="22"/>
          <w:lang w:eastAsia="en-GB"/>
        </w:rPr>
        <w:t xml:space="preserve">Supplier has been awarded the Tender and therefore Supplier is willing and able to provide the services specified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to EIT UM (the "</w:t>
      </w:r>
      <w:r w:rsidRPr="00ED36B4">
        <w:rPr>
          <w:rFonts w:eastAsia="Times New Roman" w:cs="Calibri Light"/>
          <w:b/>
          <w:bCs/>
          <w:color w:val="auto"/>
          <w:sz w:val="22"/>
          <w:lang w:eastAsia="en-GB"/>
        </w:rPr>
        <w:t>Services</w:t>
      </w:r>
      <w:r w:rsidRPr="00ED36B4">
        <w:rPr>
          <w:rFonts w:eastAsia="Times New Roman" w:cs="Calibri Light"/>
          <w:color w:val="auto"/>
          <w:sz w:val="22"/>
          <w:lang w:eastAsia="en-GB"/>
        </w:rPr>
        <w:t>") under the terms and conditions set forth in this Agreement).  </w:t>
      </w:r>
    </w:p>
    <w:p w14:paraId="04FD1C26" w14:textId="77777777" w:rsidR="00D51839" w:rsidRPr="00ED36B4" w:rsidRDefault="00D51839" w:rsidP="00D51839">
      <w:pPr>
        <w:spacing w:after="0" w:line="240" w:lineRule="auto"/>
        <w:ind w:right="-15"/>
        <w:textAlignment w:val="baseline"/>
        <w:rPr>
          <w:rFonts w:ascii="Segoe UI" w:eastAsia="Times New Roman" w:hAnsi="Segoe UI" w:cs="Segoe UI"/>
          <w:color w:val="auto"/>
          <w:sz w:val="18"/>
          <w:szCs w:val="18"/>
          <w:lang w:eastAsia="en-GB"/>
        </w:rPr>
      </w:pPr>
      <w:r w:rsidRPr="00ED36B4">
        <w:rPr>
          <w:rFonts w:eastAsia="Times New Roman" w:cs="Calibri Light"/>
          <w:color w:val="229D01"/>
          <w:sz w:val="22"/>
          <w:lang w:eastAsia="en-GB"/>
        </w:rPr>
        <w:t> </w:t>
      </w:r>
    </w:p>
    <w:p w14:paraId="7D2D91A7" w14:textId="77777777" w:rsidR="00D51839" w:rsidRPr="00ED36B4" w:rsidRDefault="00D51839" w:rsidP="00D51839">
      <w:pPr>
        <w:spacing w:after="0" w:line="240" w:lineRule="auto"/>
        <w:ind w:right="-15"/>
        <w:textAlignment w:val="baseline"/>
        <w:rPr>
          <w:rFonts w:ascii="Segoe UI" w:eastAsia="Times New Roman" w:hAnsi="Segoe UI" w:cs="Segoe UI"/>
          <w:color w:val="auto"/>
          <w:sz w:val="18"/>
          <w:szCs w:val="18"/>
          <w:lang w:eastAsia="en-GB"/>
        </w:rPr>
      </w:pPr>
      <w:r w:rsidRPr="00ED36B4">
        <w:rPr>
          <w:rFonts w:eastAsia="Times New Roman" w:cs="Calibri Light"/>
          <w:color w:val="229D01"/>
          <w:sz w:val="22"/>
          <w:lang w:eastAsia="en-GB"/>
        </w:rPr>
        <w:t> </w:t>
      </w:r>
    </w:p>
    <w:p w14:paraId="5839A82E" w14:textId="77777777" w:rsidR="00D51839" w:rsidRDefault="00D51839" w:rsidP="00D51839">
      <w:pPr>
        <w:spacing w:after="0" w:line="240" w:lineRule="auto"/>
        <w:ind w:right="-15"/>
        <w:textAlignment w:val="baseline"/>
        <w:rPr>
          <w:rFonts w:eastAsia="Times New Roman" w:cs="Calibri Light"/>
          <w:color w:val="229D01"/>
          <w:sz w:val="22"/>
          <w:lang w:eastAsia="en-GB"/>
        </w:rPr>
      </w:pPr>
      <w:r w:rsidRPr="00ED36B4">
        <w:rPr>
          <w:rFonts w:eastAsia="Times New Roman" w:cs="Calibri Light"/>
          <w:b/>
          <w:bCs/>
          <w:color w:val="229D01"/>
          <w:sz w:val="22"/>
          <w:lang w:eastAsia="en-GB"/>
        </w:rPr>
        <w:t>NOW, THEREFORE, THE PARTIES HAVE AGREED AS FOLLOWS:</w:t>
      </w:r>
      <w:r w:rsidRPr="00ED36B4">
        <w:rPr>
          <w:rFonts w:eastAsia="Times New Roman" w:cs="Calibri Light"/>
          <w:color w:val="229D01"/>
          <w:sz w:val="22"/>
          <w:lang w:eastAsia="en-GB"/>
        </w:rPr>
        <w:t> </w:t>
      </w:r>
    </w:p>
    <w:p w14:paraId="36F5D7EF" w14:textId="77777777" w:rsidR="00D51839" w:rsidRPr="00ED36B4" w:rsidRDefault="00D51839" w:rsidP="00D51839">
      <w:pPr>
        <w:spacing w:after="0" w:line="240" w:lineRule="auto"/>
        <w:ind w:right="-15"/>
        <w:textAlignment w:val="baseline"/>
        <w:rPr>
          <w:rFonts w:ascii="Segoe UI" w:eastAsia="Times New Roman" w:hAnsi="Segoe UI" w:cs="Segoe UI"/>
          <w:color w:val="auto"/>
          <w:sz w:val="18"/>
          <w:szCs w:val="18"/>
          <w:lang w:eastAsia="en-GB"/>
        </w:rPr>
      </w:pPr>
    </w:p>
    <w:p w14:paraId="1069C2E5" w14:textId="77777777" w:rsidR="00D51839" w:rsidRDefault="00D51839" w:rsidP="00D51839">
      <w:pPr>
        <w:numPr>
          <w:ilvl w:val="0"/>
          <w:numId w:val="53"/>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Structure of the Agreement and precedence </w:t>
      </w:r>
    </w:p>
    <w:p w14:paraId="44668137"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2B77F366" w14:textId="77777777" w:rsidR="00D51839" w:rsidRDefault="00D51839" w:rsidP="00D51839">
      <w:pPr>
        <w:numPr>
          <w:ilvl w:val="0"/>
          <w:numId w:val="54"/>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This Agreement consists of the body of this Agreement and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attached to this Agreement, as well as the Tender. </w:t>
      </w:r>
    </w:p>
    <w:p w14:paraId="33C1506B"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A36F3D6" w14:textId="77777777" w:rsidR="00D51839" w:rsidRDefault="00D51839" w:rsidP="00D51839">
      <w:pPr>
        <w:numPr>
          <w:ilvl w:val="0"/>
          <w:numId w:val="5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lastRenderedPageBreak/>
        <w:t>The body contains standard general provisions applicable to all Services purchased by EIT UM from Supplier under this Agreement. </w:t>
      </w:r>
    </w:p>
    <w:p w14:paraId="49351FD9"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613B023" w14:textId="77777777" w:rsidR="00D51839" w:rsidRDefault="00D51839" w:rsidP="00D51839">
      <w:pPr>
        <w:numPr>
          <w:ilvl w:val="0"/>
          <w:numId w:val="5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contains the description of the Services and the time schedule for the delivery of such Services (extracted from Supplier’s Offer), as well as additional specific conditions and details adapted to the type of Services purchased by EIT UM from Supplier under this Agreement.  </w:t>
      </w:r>
    </w:p>
    <w:p w14:paraId="0C58DC33"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48044DD2" w14:textId="77777777" w:rsidR="00D51839" w:rsidRDefault="00D51839" w:rsidP="00D51839">
      <w:pPr>
        <w:numPr>
          <w:ilvl w:val="0"/>
          <w:numId w:val="57"/>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In case of discrepancy between the description of Services and time schedule in the EIT UM Tender and the description of Services and time schedule in Annex 1, the EIT UM Tender shall prevail.</w:t>
      </w:r>
      <w:r w:rsidRPr="00ED36B4">
        <w:rPr>
          <w:rFonts w:ascii="Arial" w:eastAsia="Times New Roman" w:hAnsi="Arial" w:cs="Arial"/>
          <w:color w:val="auto"/>
          <w:szCs w:val="20"/>
          <w:lang w:eastAsia="en-GB"/>
        </w:rPr>
        <w:t xml:space="preserve"> </w:t>
      </w:r>
      <w:r w:rsidRPr="00ED36B4">
        <w:rPr>
          <w:rFonts w:eastAsia="Times New Roman" w:cs="Calibri Light"/>
          <w:color w:val="auto"/>
          <w:sz w:val="22"/>
          <w:lang w:eastAsia="en-GB"/>
        </w:rPr>
        <w:t xml:space="preserve">In case of discrepancy between a provision in the body and a provision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the provision in the body shall prevail unless the deviating provision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states expressly that it is specifically agreed by both Parties as being in deviation of a specific provision of the body and refers clearly to the provision of the body concerned. </w:t>
      </w:r>
    </w:p>
    <w:p w14:paraId="682A3B17"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729DE56" w14:textId="77777777" w:rsidR="00D51839" w:rsidRDefault="00D51839" w:rsidP="00D51839">
      <w:pPr>
        <w:numPr>
          <w:ilvl w:val="0"/>
          <w:numId w:val="58"/>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Ordering of Services, non-applicability of Supplier’s (standard) terms and conditions </w:t>
      </w:r>
    </w:p>
    <w:p w14:paraId="5C43622E"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201A6FDB" w14:textId="77777777" w:rsidR="00D51839" w:rsidRDefault="00D51839" w:rsidP="00D51839">
      <w:pPr>
        <w:numPr>
          <w:ilvl w:val="0"/>
          <w:numId w:val="5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Supplier does not commit to provide the Services exclusively to EIT UM, unless and to the extent provided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for certain specific types of Services. </w:t>
      </w:r>
    </w:p>
    <w:p w14:paraId="3141E2AD"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47A1D094" w14:textId="77777777" w:rsidR="00D51839" w:rsidRDefault="00D51839" w:rsidP="00D51839">
      <w:pPr>
        <w:numPr>
          <w:ilvl w:val="0"/>
          <w:numId w:val="60"/>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contractual relationship between EIT UM and Supplier shall solely be governed by the terms and conditions of this Agreement. EIT UM is therefore not bound by and expressly rejects Supplier’s general conditions of services and any additional or different terms or provisions that may appear on any proposal, quotation, price list, acknowledgment, invoice, packing slip or the like used by Supplier. </w:t>
      </w:r>
    </w:p>
    <w:p w14:paraId="25CB8D6B"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CFCF892" w14:textId="77777777" w:rsidR="00D51839" w:rsidRDefault="00D51839" w:rsidP="00D51839">
      <w:pPr>
        <w:numPr>
          <w:ilvl w:val="0"/>
          <w:numId w:val="61"/>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Performance of the Services, organization, quality, timely delivery, subcontracting, reporting of progress, acceptance, changes </w:t>
      </w:r>
    </w:p>
    <w:p w14:paraId="5FD8C371"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19CEAE0E" w14:textId="77777777" w:rsidR="00D51839" w:rsidRDefault="00D51839" w:rsidP="00D51839">
      <w:pPr>
        <w:numPr>
          <w:ilvl w:val="0"/>
          <w:numId w:val="62"/>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With due observance of the other provisions of the Agreement, Supplier shall perform the Services specified under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for EIT UM under this Agreement, within the time schedule specified under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w:t>
      </w:r>
    </w:p>
    <w:p w14:paraId="28F8070F"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4E339839" w14:textId="77777777" w:rsidR="00D51839" w:rsidRDefault="00D51839" w:rsidP="00D51839">
      <w:pPr>
        <w:numPr>
          <w:ilvl w:val="0"/>
          <w:numId w:val="63"/>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agrees to perform the Services by exercising due skill, speed and care, at a level generally required of well-reputed Suppliers in the same field as the one covered by this Agreement and shall make every effort to the best of Supplier’s abilities to serve the interests of EIT UM as much as possible.  </w:t>
      </w:r>
    </w:p>
    <w:p w14:paraId="2C63B161"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7989495" w14:textId="77777777" w:rsidR="00D51839" w:rsidRDefault="00D51839" w:rsidP="00D51839">
      <w:pPr>
        <w:numPr>
          <w:ilvl w:val="0"/>
          <w:numId w:val="64"/>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is free to organise the way it provides the Services and the timing thereof autonomously and at its own discretion without supervision or authority of EIT UM,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xml:space="preserve">) provided the Services are performed accurately and diligently and in accordance with the requirements of this Agreement, including the timely delivery of the Services as specified under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and (ii) subject to specific requirements as may be stated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regarding the way the Services shall be provided. Supplier may conduct its business activities from its own premises but may be requested to operate from EIT UM’s premises whenever it is necessary for the performance of the Services. Supplier shall arrange their own travel, should they need to travel in order to </w:t>
      </w:r>
      <w:r w:rsidRPr="00ED36B4">
        <w:rPr>
          <w:rFonts w:eastAsia="Times New Roman" w:cs="Calibri Light"/>
          <w:color w:val="auto"/>
          <w:sz w:val="22"/>
          <w:lang w:eastAsia="en-GB"/>
        </w:rPr>
        <w:lastRenderedPageBreak/>
        <w:t>perform the Services. When performing the Services, Service Provider shall use its own tools and materials, work forces. Supplier shall be fully responsible for the proper execution of this Agreement in all respects.  </w:t>
      </w:r>
    </w:p>
    <w:p w14:paraId="0388D067"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2AFC2B4" w14:textId="77777777" w:rsidR="00D51839" w:rsidRDefault="00D51839" w:rsidP="00D51839">
      <w:pPr>
        <w:numPr>
          <w:ilvl w:val="0"/>
          <w:numId w:val="6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Supplier shall use personnel who possess the qualifications and experience necessary for the performance of the Services. Additional requirements relating to personnel may be provided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as the case may be. </w:t>
      </w:r>
    </w:p>
    <w:p w14:paraId="1BCD5194"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EBF5A9B" w14:textId="77777777" w:rsidR="00D51839" w:rsidRDefault="00D51839" w:rsidP="00D51839">
      <w:pPr>
        <w:numPr>
          <w:ilvl w:val="0"/>
          <w:numId w:val="6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Unless otherwise specifically provided under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Supplier may subcontract part of the provision of the Services to subcontractors, provided such subcontractors are contractually bound by similar obligations as under this Agreement, and provided Supplier has disclosed the elements of the Agreement to be subcontracted and the identity of the relevant subcontractor to EIT UM. Supplier remains at all times responsible for the work performed by its subcontractors and for the acts, defaults and negligence of such subcontractors, and no subcontract shall create any contractual relationship between any subcontractor and EIT UM. Additional requirements relating to subcontracting may be provided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as the case may be. </w:t>
      </w:r>
    </w:p>
    <w:p w14:paraId="7E03BCDA"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0710183" w14:textId="77777777" w:rsidR="00D51839" w:rsidRDefault="00D51839" w:rsidP="00D51839">
      <w:pPr>
        <w:numPr>
          <w:ilvl w:val="0"/>
          <w:numId w:val="67"/>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In order for EIT UM and Supplier to monitor the proper performance of the Services throughout the Term of the Agreement (as described in Article </w:t>
      </w:r>
      <w:r w:rsidRPr="00ED36B4">
        <w:rPr>
          <w:rFonts w:eastAsia="Times New Roman" w:cs="Calibri Light"/>
          <w:color w:val="000000"/>
          <w:sz w:val="22"/>
          <w:shd w:val="clear" w:color="auto" w:fill="E1E3E6"/>
          <w:lang w:eastAsia="en-GB"/>
        </w:rPr>
        <w:t>10.1</w:t>
      </w:r>
      <w:r w:rsidRPr="00ED36B4">
        <w:rPr>
          <w:rFonts w:eastAsia="Times New Roman" w:cs="Calibri Light"/>
          <w:color w:val="auto"/>
          <w:sz w:val="22"/>
          <w:lang w:eastAsia="en-GB"/>
        </w:rPr>
        <w:t xml:space="preserve"> below), Supplier shall report to EIT UM progress of the performance of the Services, in writing, at intervals and under conditions specified under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Supplier shall provide EIT UM with time sheets describing the tasks performed by Supplier and the time spent on each task, pursuant to the regularity provided under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and pursuant to the time sheet template provided by EIT UM separately. </w:t>
      </w:r>
    </w:p>
    <w:p w14:paraId="3A53E46B"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F6EB104" w14:textId="77777777" w:rsidR="00D51839" w:rsidRDefault="00D51839" w:rsidP="00D51839">
      <w:pPr>
        <w:numPr>
          <w:ilvl w:val="0"/>
          <w:numId w:val="68"/>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If, for whatever reason, Supplier is not able to perform the agreed Services, or is not able to meet the deadlines agreed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Supplier shall notify EIT UM hereof promptly in writing, and shall take any reasonable measure to mitigate the consequences of such situation, in agreement with EIT UM. </w:t>
      </w:r>
    </w:p>
    <w:p w14:paraId="1489BF9F"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388F016" w14:textId="77777777" w:rsidR="00D51839" w:rsidRDefault="00D51839" w:rsidP="00D51839">
      <w:pPr>
        <w:numPr>
          <w:ilvl w:val="0"/>
          <w:numId w:val="6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Services delivered are subject to the acceptance of EIT UM. EIT UM shall issue a performance certificate after completion of Services. Should EIT UM fail to reject part or all of the Services provided within fifteen (15) (or other deadline set forth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calendar days as from such delivery, on the grounds of a lack of quality or compliance, or because of late delivery, Services shall be considered as accepted. Should EIT UM reject a Service (within the above deadline) because of lack of quality or compliance, and such failure is capable of remedy, Supplier shall re-perform the rejected (part of the) Service promptly (but no later than five (5) calendar days in absence of any further instructions) at no additional charge for EIT UM. Should such failure be not capable of remedy (given the type of Service and/or the extent of the failure) or should the delivery have occurred after an essential delivery deadline which renders the Service irrelevant or useless, the Services at stake shall be considered as rescinded, and EIT UM is not obliged to provide any compensation to Supplier for such Services. </w:t>
      </w:r>
    </w:p>
    <w:p w14:paraId="376F2DBF"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F3AC33E" w14:textId="77777777" w:rsidR="00D51839" w:rsidRDefault="00D51839" w:rsidP="00D51839">
      <w:pPr>
        <w:numPr>
          <w:ilvl w:val="0"/>
          <w:numId w:val="70"/>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Modifications to the Services and/or other provisions of this Agreement may only be agreed by the Parties as per the EIT UM procurement rules, i.e. if: </w:t>
      </w:r>
    </w:p>
    <w:p w14:paraId="4C60E69B"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C7BB448" w14:textId="77777777" w:rsidR="00D51839" w:rsidRDefault="00D51839" w:rsidP="00D51839">
      <w:pPr>
        <w:numPr>
          <w:ilvl w:val="0"/>
          <w:numId w:val="71"/>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mutually agreed in writing, and  </w:t>
      </w:r>
    </w:p>
    <w:p w14:paraId="70BFFE2D"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10870441" w14:textId="77777777" w:rsidR="00D51839" w:rsidRDefault="00D51839" w:rsidP="00D51839">
      <w:pPr>
        <w:numPr>
          <w:ilvl w:val="0"/>
          <w:numId w:val="72"/>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need for modification has been brought about by circumstances which a diligent contracting entity could not foresee; and </w:t>
      </w:r>
    </w:p>
    <w:p w14:paraId="26BAE77D"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6B4F70E3" w14:textId="77777777" w:rsidR="00D51839" w:rsidRDefault="00D51839" w:rsidP="00D51839">
      <w:pPr>
        <w:numPr>
          <w:ilvl w:val="0"/>
          <w:numId w:val="73"/>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modification does not alter the overall nature of the contract; and </w:t>
      </w:r>
    </w:p>
    <w:p w14:paraId="61AAA36F"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6A4CB39C" w14:textId="77777777" w:rsidR="00D51839" w:rsidRDefault="00D51839" w:rsidP="00D51839">
      <w:pPr>
        <w:numPr>
          <w:ilvl w:val="0"/>
          <w:numId w:val="74"/>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any increase in price is not higher than 25 % of the original value of the Agreement. In addition, if several successive increases in price would be agreed, the total cumulating of such successive increases shall not exceed 25% of the original value of the Agreement; and </w:t>
      </w:r>
    </w:p>
    <w:p w14:paraId="1B936328"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004FB633" w14:textId="77777777" w:rsidR="00D51839" w:rsidRDefault="00D51839" w:rsidP="00D51839">
      <w:pPr>
        <w:numPr>
          <w:ilvl w:val="0"/>
          <w:numId w:val="75"/>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modifications above 10% of the original value of the Agreement should only amend specific conditions of the Agreement and be made by way of an amendment to this Agreement signed by both Parties. </w:t>
      </w:r>
    </w:p>
    <w:p w14:paraId="0D0D6CA4"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570D8634" w14:textId="77777777" w:rsidR="00D51839" w:rsidRDefault="00D51839" w:rsidP="00D51839">
      <w:pPr>
        <w:numPr>
          <w:ilvl w:val="0"/>
          <w:numId w:val="7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Parties designate the following contact persons for communication with respect to this Contract: </w:t>
      </w:r>
    </w:p>
    <w:p w14:paraId="3CE24AB4"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245"/>
      </w:tblGrid>
      <w:tr w:rsidR="00D51839" w:rsidRPr="00ED36B4" w14:paraId="70B279D2" w14:textId="77777777" w:rsidTr="00110955">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9CC2E5"/>
            <w:hideMark/>
          </w:tcPr>
          <w:p w14:paraId="5058B36E"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b/>
                <w:bCs/>
                <w:color w:val="auto"/>
                <w:sz w:val="22"/>
                <w:lang w:eastAsia="en-GB"/>
              </w:rPr>
              <w:t>For EIT UM</w:t>
            </w:r>
            <w:r w:rsidRPr="00ED36B4">
              <w:rPr>
                <w:rFonts w:eastAsia="Times New Roman" w:cs="Calibri Light"/>
                <w:color w:val="auto"/>
                <w:sz w:val="22"/>
                <w:lang w:eastAsia="en-GB"/>
              </w:rPr>
              <w:t> </w:t>
            </w:r>
          </w:p>
        </w:tc>
        <w:tc>
          <w:tcPr>
            <w:tcW w:w="4245" w:type="dxa"/>
            <w:tcBorders>
              <w:top w:val="single" w:sz="6" w:space="0" w:color="auto"/>
              <w:left w:val="single" w:sz="6" w:space="0" w:color="auto"/>
              <w:bottom w:val="single" w:sz="6" w:space="0" w:color="auto"/>
              <w:right w:val="single" w:sz="6" w:space="0" w:color="auto"/>
            </w:tcBorders>
            <w:shd w:val="clear" w:color="auto" w:fill="9CC2E5"/>
            <w:hideMark/>
          </w:tcPr>
          <w:p w14:paraId="75E86D35"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b/>
                <w:bCs/>
                <w:color w:val="auto"/>
                <w:sz w:val="22"/>
                <w:lang w:eastAsia="en-GB"/>
              </w:rPr>
              <w:t>For Supplier</w:t>
            </w:r>
            <w:r w:rsidRPr="00ED36B4">
              <w:rPr>
                <w:rFonts w:eastAsia="Times New Roman" w:cs="Calibri Light"/>
                <w:color w:val="auto"/>
                <w:sz w:val="22"/>
                <w:lang w:eastAsia="en-GB"/>
              </w:rPr>
              <w:t> </w:t>
            </w:r>
          </w:p>
        </w:tc>
      </w:tr>
      <w:tr w:rsidR="00D51839" w:rsidRPr="00ED36B4" w14:paraId="326014A2" w14:textId="77777777" w:rsidTr="00110955">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F858F7" w14:textId="77777777" w:rsidR="00D51839" w:rsidRPr="00ED36B4" w:rsidRDefault="00D51839" w:rsidP="00110955">
            <w:pPr>
              <w:spacing w:after="0" w:line="240" w:lineRule="auto"/>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Name:  </w:t>
            </w:r>
          </w:p>
        </w:tc>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79AFF5" w14:textId="77777777" w:rsidR="00D51839" w:rsidRPr="00ED36B4" w:rsidRDefault="00D51839" w:rsidP="00110955">
            <w:pPr>
              <w:spacing w:after="0" w:line="240" w:lineRule="auto"/>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Name:  </w:t>
            </w:r>
          </w:p>
        </w:tc>
      </w:tr>
      <w:tr w:rsidR="00D51839" w:rsidRPr="00ED36B4" w14:paraId="7B9315A7" w14:textId="77777777" w:rsidTr="00110955">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046165" w14:textId="77777777" w:rsidR="00D51839" w:rsidRPr="00ED36B4" w:rsidRDefault="00D51839" w:rsidP="00110955">
            <w:pPr>
              <w:spacing w:after="0" w:line="240" w:lineRule="auto"/>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Phone:  </w:t>
            </w:r>
          </w:p>
        </w:tc>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1931A9" w14:textId="77777777" w:rsidR="00D51839" w:rsidRPr="00ED36B4" w:rsidRDefault="00D51839" w:rsidP="00110955">
            <w:pPr>
              <w:spacing w:after="0" w:line="240" w:lineRule="auto"/>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Phone:  </w:t>
            </w:r>
          </w:p>
        </w:tc>
      </w:tr>
      <w:tr w:rsidR="00D51839" w:rsidRPr="00ED36B4" w14:paraId="5A19A8FC" w14:textId="77777777" w:rsidTr="00110955">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B2B222" w14:textId="77777777" w:rsidR="00D51839" w:rsidRPr="00ED36B4" w:rsidRDefault="00D51839" w:rsidP="00110955">
            <w:pPr>
              <w:spacing w:after="0" w:line="240" w:lineRule="auto"/>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E-mail:  </w:t>
            </w:r>
          </w:p>
        </w:tc>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68B5F7" w14:textId="77777777" w:rsidR="00D51839" w:rsidRPr="00ED36B4" w:rsidRDefault="00D51839" w:rsidP="00110955">
            <w:pPr>
              <w:spacing w:after="0" w:line="240" w:lineRule="auto"/>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E-mail:  </w:t>
            </w:r>
          </w:p>
        </w:tc>
      </w:tr>
    </w:tbl>
    <w:p w14:paraId="2574A6BD" w14:textId="77777777" w:rsidR="00D51839" w:rsidRDefault="00D51839" w:rsidP="00D51839">
      <w:pPr>
        <w:spacing w:after="0" w:line="240" w:lineRule="auto"/>
        <w:ind w:left="720"/>
        <w:jc w:val="both"/>
        <w:textAlignment w:val="baseline"/>
        <w:rPr>
          <w:rFonts w:eastAsia="Times New Roman" w:cs="Calibri Light"/>
          <w:b/>
          <w:bCs/>
          <w:color w:val="214EA2"/>
          <w:sz w:val="22"/>
          <w:lang w:eastAsia="en-GB"/>
        </w:rPr>
      </w:pPr>
    </w:p>
    <w:p w14:paraId="072D5650" w14:textId="77777777" w:rsidR="00D51839" w:rsidRDefault="00D51839" w:rsidP="00D51839">
      <w:pPr>
        <w:numPr>
          <w:ilvl w:val="0"/>
          <w:numId w:val="77"/>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Compensation, invoicing and payment, expenses </w:t>
      </w:r>
    </w:p>
    <w:p w14:paraId="7154F0A2"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62A0722F" w14:textId="77777777" w:rsidR="00D51839" w:rsidRDefault="00D51839" w:rsidP="00D51839">
      <w:pPr>
        <w:numPr>
          <w:ilvl w:val="0"/>
          <w:numId w:val="78"/>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Supplier is entitled to charge, in respect of Supplier’s Services as described under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the compensation specified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per Service. </w:t>
      </w:r>
    </w:p>
    <w:p w14:paraId="40494E50"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74E39B7" w14:textId="77777777" w:rsidR="00D51839" w:rsidRDefault="00D51839" w:rsidP="00D51839">
      <w:pPr>
        <w:numPr>
          <w:ilvl w:val="0"/>
          <w:numId w:val="7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Supplier may only charge the amounts under Article </w:t>
      </w:r>
      <w:r w:rsidRPr="00ED36B4">
        <w:rPr>
          <w:rFonts w:eastAsia="Times New Roman" w:cs="Calibri Light"/>
          <w:color w:val="000000"/>
          <w:sz w:val="22"/>
          <w:shd w:val="clear" w:color="auto" w:fill="E1E3E6"/>
          <w:lang w:eastAsia="en-GB"/>
        </w:rPr>
        <w:t>4.1</w:t>
      </w:r>
      <w:r w:rsidRPr="00ED36B4">
        <w:rPr>
          <w:rFonts w:eastAsia="Times New Roman" w:cs="Calibri Light"/>
          <w:color w:val="auto"/>
          <w:sz w:val="22"/>
          <w:lang w:eastAsia="en-GB"/>
        </w:rPr>
        <w:t xml:space="preserve"> corresponding to the delivered Services, after acceptance of such Services by EIT UM. </w:t>
      </w:r>
    </w:p>
    <w:p w14:paraId="6F08F579"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45BE148C" w14:textId="77777777" w:rsidR="00D51839" w:rsidRDefault="00D51839" w:rsidP="00D51839">
      <w:pPr>
        <w:numPr>
          <w:ilvl w:val="0"/>
          <w:numId w:val="80"/>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Further, Supplier may only charge the amounts under Article </w:t>
      </w:r>
      <w:r w:rsidRPr="00ED36B4">
        <w:rPr>
          <w:rFonts w:eastAsia="Times New Roman" w:cs="Calibri Light"/>
          <w:color w:val="000000"/>
          <w:sz w:val="22"/>
          <w:shd w:val="clear" w:color="auto" w:fill="E1E3E6"/>
          <w:lang w:eastAsia="en-GB"/>
        </w:rPr>
        <w:t>4.1</w:t>
      </w:r>
      <w:r w:rsidRPr="00ED36B4">
        <w:rPr>
          <w:rFonts w:eastAsia="Times New Roman" w:cs="Calibri Light"/>
          <w:color w:val="auto"/>
          <w:sz w:val="22"/>
          <w:lang w:eastAsia="en-GB"/>
        </w:rPr>
        <w:t xml:space="preserve"> subject to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EIT UM having received a correct invoice bearing the essential elements below, (ii) all relevant progress reports relating to the delivered Services so invoiced having been properly delivered to EIT UM in a timely manner and accepted by EIT UM in writing (as the case may be). </w:t>
      </w:r>
    </w:p>
    <w:p w14:paraId="282726C9"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107C464" w14:textId="77777777" w:rsidR="00D51839" w:rsidRPr="00ED36B4" w:rsidRDefault="00D51839" w:rsidP="00D51839">
      <w:pPr>
        <w:numPr>
          <w:ilvl w:val="0"/>
          <w:numId w:val="81"/>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An invoice shall be considered as correct when containing the following essential elements: </w:t>
      </w:r>
    </w:p>
    <w:p w14:paraId="2205DBDD" w14:textId="77777777" w:rsidR="00D51839" w:rsidRPr="00ED36B4" w:rsidRDefault="00D51839" w:rsidP="00D51839">
      <w:pPr>
        <w:numPr>
          <w:ilvl w:val="0"/>
          <w:numId w:val="82"/>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name and address of Supplier </w:t>
      </w:r>
    </w:p>
    <w:p w14:paraId="55D07537" w14:textId="77777777" w:rsidR="00D51839" w:rsidRPr="00ED36B4" w:rsidRDefault="00D51839" w:rsidP="00D51839">
      <w:pPr>
        <w:numPr>
          <w:ilvl w:val="0"/>
          <w:numId w:val="83"/>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VAT identification number of Supplier </w:t>
      </w:r>
    </w:p>
    <w:p w14:paraId="392DB2B5" w14:textId="77777777" w:rsidR="00D51839" w:rsidRPr="00ED36B4" w:rsidRDefault="00D51839" w:rsidP="00D51839">
      <w:pPr>
        <w:numPr>
          <w:ilvl w:val="0"/>
          <w:numId w:val="84"/>
        </w:numPr>
        <w:spacing w:after="0" w:line="240" w:lineRule="auto"/>
        <w:ind w:left="2127" w:hanging="837"/>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VAT identification number of EIT UM </w:t>
      </w:r>
    </w:p>
    <w:p w14:paraId="292DA551" w14:textId="77777777" w:rsidR="00D51839" w:rsidRPr="00ED36B4" w:rsidRDefault="00D51839" w:rsidP="00D51839">
      <w:pPr>
        <w:numPr>
          <w:ilvl w:val="0"/>
          <w:numId w:val="85"/>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name and address of EIT UM </w:t>
      </w:r>
    </w:p>
    <w:p w14:paraId="572BECEA" w14:textId="77777777" w:rsidR="00D51839" w:rsidRPr="00ED36B4" w:rsidRDefault="00D51839" w:rsidP="00D51839">
      <w:pPr>
        <w:numPr>
          <w:ilvl w:val="0"/>
          <w:numId w:val="86"/>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invoice number </w:t>
      </w:r>
    </w:p>
    <w:p w14:paraId="4B2CBAB4" w14:textId="77777777" w:rsidR="00D51839" w:rsidRPr="00ED36B4" w:rsidRDefault="00D51839" w:rsidP="00D51839">
      <w:pPr>
        <w:numPr>
          <w:ilvl w:val="0"/>
          <w:numId w:val="87"/>
        </w:numPr>
        <w:spacing w:after="0" w:line="240" w:lineRule="auto"/>
        <w:ind w:left="2127" w:hanging="837"/>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invoice date </w:t>
      </w:r>
    </w:p>
    <w:p w14:paraId="0E03623C" w14:textId="77777777" w:rsidR="00D51839" w:rsidRPr="00ED36B4" w:rsidRDefault="00D51839" w:rsidP="00D51839">
      <w:pPr>
        <w:numPr>
          <w:ilvl w:val="0"/>
          <w:numId w:val="88"/>
        </w:numPr>
        <w:spacing w:after="0" w:line="240" w:lineRule="auto"/>
        <w:ind w:left="2127" w:hanging="837"/>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lastRenderedPageBreak/>
        <w:t>the date on which the Services were supplied (provided EIT UM has accepted them pursuant to this Agreement) </w:t>
      </w:r>
    </w:p>
    <w:p w14:paraId="32DC5F48" w14:textId="77777777" w:rsidR="00D51839" w:rsidRPr="00ED36B4" w:rsidRDefault="00D51839" w:rsidP="00D51839">
      <w:pPr>
        <w:numPr>
          <w:ilvl w:val="0"/>
          <w:numId w:val="89"/>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quantity and type of goods supplied (if applicable) </w:t>
      </w:r>
    </w:p>
    <w:p w14:paraId="4B400B92" w14:textId="77777777" w:rsidR="00D51839" w:rsidRPr="00ED36B4" w:rsidRDefault="00D51839" w:rsidP="00D51839">
      <w:pPr>
        <w:numPr>
          <w:ilvl w:val="0"/>
          <w:numId w:val="90"/>
        </w:numPr>
        <w:spacing w:after="0" w:line="240" w:lineRule="auto"/>
        <w:ind w:left="2127" w:hanging="837"/>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nature and type of Services supplied </w:t>
      </w:r>
    </w:p>
    <w:p w14:paraId="7308C5A4" w14:textId="77777777" w:rsidR="00D51839" w:rsidRPr="00ED36B4" w:rsidRDefault="00D51839" w:rsidP="00D51839">
      <w:pPr>
        <w:numPr>
          <w:ilvl w:val="0"/>
          <w:numId w:val="91"/>
        </w:numPr>
        <w:spacing w:after="0" w:line="240" w:lineRule="auto"/>
        <w:ind w:left="2127" w:hanging="837"/>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following data for every VAT tariff or exemption: </w:t>
      </w:r>
    </w:p>
    <w:p w14:paraId="32930A1B" w14:textId="77777777" w:rsidR="00D51839" w:rsidRPr="00ED36B4" w:rsidRDefault="00D51839" w:rsidP="00D51839">
      <w:pPr>
        <w:numPr>
          <w:ilvl w:val="0"/>
          <w:numId w:val="92"/>
        </w:numPr>
        <w:spacing w:after="0" w:line="240" w:lineRule="auto"/>
        <w:ind w:left="2268"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price per piece or unit, excluding VAT </w:t>
      </w:r>
    </w:p>
    <w:p w14:paraId="4DF78C71" w14:textId="77777777" w:rsidR="00D51839" w:rsidRPr="00ED36B4" w:rsidRDefault="00D51839" w:rsidP="00D51839">
      <w:pPr>
        <w:numPr>
          <w:ilvl w:val="0"/>
          <w:numId w:val="93"/>
        </w:numPr>
        <w:spacing w:after="0" w:line="240" w:lineRule="auto"/>
        <w:ind w:left="2268"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any reductions that are not included in the price </w:t>
      </w:r>
    </w:p>
    <w:p w14:paraId="2CD3B4B3" w14:textId="77777777" w:rsidR="00D51839" w:rsidRPr="00ED36B4" w:rsidRDefault="00D51839" w:rsidP="00D51839">
      <w:pPr>
        <w:numPr>
          <w:ilvl w:val="0"/>
          <w:numId w:val="94"/>
        </w:numPr>
        <w:spacing w:after="0" w:line="240" w:lineRule="auto"/>
        <w:ind w:left="2268"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VAT tariff that has been applied </w:t>
      </w:r>
    </w:p>
    <w:p w14:paraId="50C81536" w14:textId="77777777" w:rsidR="00D51839" w:rsidRPr="00ED36B4" w:rsidRDefault="00D51839" w:rsidP="00D51839">
      <w:pPr>
        <w:numPr>
          <w:ilvl w:val="0"/>
          <w:numId w:val="95"/>
        </w:numPr>
        <w:spacing w:after="0" w:line="240" w:lineRule="auto"/>
        <w:ind w:left="2268"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cost (the price excluding VAT) </w:t>
      </w:r>
    </w:p>
    <w:p w14:paraId="26E29ED2" w14:textId="77777777" w:rsidR="00D51839" w:rsidRPr="00ED36B4" w:rsidRDefault="00D51839" w:rsidP="00D51839">
      <w:pPr>
        <w:numPr>
          <w:ilvl w:val="0"/>
          <w:numId w:val="96"/>
        </w:numPr>
        <w:spacing w:after="0" w:line="240" w:lineRule="auto"/>
        <w:ind w:left="2268"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in case of advance payment: the date of payment, if this is different from the invoice date </w:t>
      </w:r>
    </w:p>
    <w:p w14:paraId="5EF3AED6" w14:textId="77777777" w:rsidR="00D51839" w:rsidRDefault="00D51839" w:rsidP="00D51839">
      <w:pPr>
        <w:numPr>
          <w:ilvl w:val="0"/>
          <w:numId w:val="97"/>
        </w:numPr>
        <w:spacing w:after="0" w:line="240" w:lineRule="auto"/>
        <w:ind w:left="2268"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amount of VAT </w:t>
      </w:r>
    </w:p>
    <w:p w14:paraId="45872BB2" w14:textId="77777777" w:rsidR="00D51839" w:rsidRPr="00ED36B4" w:rsidRDefault="00D51839" w:rsidP="00D51839">
      <w:pPr>
        <w:spacing w:after="0" w:line="240" w:lineRule="auto"/>
        <w:ind w:left="2268"/>
        <w:jc w:val="both"/>
        <w:textAlignment w:val="baseline"/>
        <w:rPr>
          <w:rFonts w:eastAsia="Times New Roman" w:cs="Calibri Light"/>
          <w:color w:val="auto"/>
          <w:sz w:val="22"/>
          <w:lang w:eastAsia="en-GB"/>
        </w:rPr>
      </w:pPr>
    </w:p>
    <w:p w14:paraId="6DA43157" w14:textId="77777777" w:rsidR="00D51839" w:rsidRDefault="00D51839" w:rsidP="00D51839">
      <w:pPr>
        <w:numPr>
          <w:ilvl w:val="0"/>
          <w:numId w:val="98"/>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By deviation to Article </w:t>
      </w:r>
      <w:r w:rsidRPr="00ED36B4">
        <w:rPr>
          <w:rFonts w:eastAsia="Times New Roman" w:cs="Calibri Light"/>
          <w:color w:val="000000"/>
          <w:sz w:val="22"/>
          <w:shd w:val="clear" w:color="auto" w:fill="E1E3E6"/>
          <w:lang w:eastAsia="en-GB"/>
        </w:rPr>
        <w:t>4.2</w:t>
      </w:r>
      <w:r w:rsidRPr="00ED36B4">
        <w:rPr>
          <w:rFonts w:eastAsia="Times New Roman" w:cs="Calibri Light"/>
          <w:color w:val="auto"/>
          <w:sz w:val="22"/>
          <w:lang w:eastAsia="en-GB"/>
        </w:rPr>
        <w:t xml:space="preserve">, Supplier may charge the amounts under Article </w:t>
      </w:r>
      <w:r w:rsidRPr="00ED36B4">
        <w:rPr>
          <w:rFonts w:eastAsia="Times New Roman" w:cs="Calibri Light"/>
          <w:color w:val="000000"/>
          <w:sz w:val="22"/>
          <w:shd w:val="clear" w:color="auto" w:fill="E1E3E6"/>
          <w:lang w:eastAsia="en-GB"/>
        </w:rPr>
        <w:t>4.1</w:t>
      </w:r>
      <w:r w:rsidRPr="00ED36B4">
        <w:rPr>
          <w:rFonts w:eastAsia="Times New Roman" w:cs="Calibri Light"/>
          <w:color w:val="auto"/>
          <w:sz w:val="22"/>
          <w:lang w:eastAsia="en-GB"/>
        </w:rPr>
        <w:t xml:space="preserve">, at the beginning of each (quarterly, monthly or other) period specified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if such alternative is specifically agreed by EIT UM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In such a case, requirements of Article </w:t>
      </w:r>
      <w:r w:rsidRPr="00ED36B4">
        <w:rPr>
          <w:rFonts w:eastAsia="Times New Roman" w:cs="Calibri Light"/>
          <w:color w:val="000000"/>
          <w:sz w:val="22"/>
          <w:shd w:val="clear" w:color="auto" w:fill="E1E3E6"/>
          <w:lang w:eastAsia="en-GB"/>
        </w:rPr>
        <w:t>4.3</w:t>
      </w:r>
      <w:r w:rsidRPr="00ED36B4">
        <w:rPr>
          <w:rFonts w:eastAsia="Times New Roman" w:cs="Calibri Light"/>
          <w:color w:val="auto"/>
          <w:sz w:val="22"/>
          <w:lang w:eastAsia="en-GB"/>
        </w:rPr>
        <w:t xml:space="preserve"> shall apply to each regular invoice. </w:t>
      </w:r>
    </w:p>
    <w:p w14:paraId="4F05C31A"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B1A96E3" w14:textId="77777777" w:rsidR="00D51839" w:rsidRDefault="00D51839" w:rsidP="00D51839">
      <w:pPr>
        <w:numPr>
          <w:ilvl w:val="0"/>
          <w:numId w:val="9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The payment term applying to Supplier invoices fulfilling the requirements of this </w:t>
      </w:r>
      <w:r w:rsidRPr="00ED36B4">
        <w:rPr>
          <w:rFonts w:eastAsia="Times New Roman" w:cs="Calibri Light"/>
          <w:color w:val="000000"/>
          <w:sz w:val="22"/>
          <w:shd w:val="clear" w:color="auto" w:fill="E1E3E6"/>
          <w:lang w:eastAsia="en-GB"/>
        </w:rPr>
        <w:t>Article 4:</w:t>
      </w:r>
      <w:r w:rsidRPr="00ED36B4">
        <w:rPr>
          <w:rFonts w:eastAsia="Times New Roman" w:cs="Calibri Light"/>
          <w:color w:val="auto"/>
          <w:sz w:val="22"/>
          <w:lang w:eastAsia="en-GB"/>
        </w:rPr>
        <w:t xml:space="preserve"> is fixed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w:t>
      </w:r>
    </w:p>
    <w:p w14:paraId="361B3F28"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4E52C051" w14:textId="77777777" w:rsidR="00D51839" w:rsidRDefault="00D51839" w:rsidP="00D51839">
      <w:pPr>
        <w:numPr>
          <w:ilvl w:val="0"/>
          <w:numId w:val="100"/>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All amounts corresponding to the compensation per Service, as fixed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shall be fixed tariffs, which may not be revised during the Term of this Agreement (as described in Article </w:t>
      </w:r>
      <w:r w:rsidRPr="00ED36B4">
        <w:rPr>
          <w:rFonts w:eastAsia="Times New Roman" w:cs="Calibri Light"/>
          <w:color w:val="000000"/>
          <w:sz w:val="22"/>
          <w:shd w:val="clear" w:color="auto" w:fill="E1E3E6"/>
          <w:lang w:eastAsia="en-GB"/>
        </w:rPr>
        <w:t>10.1</w:t>
      </w:r>
      <w:r w:rsidRPr="00ED36B4">
        <w:rPr>
          <w:rFonts w:eastAsia="Times New Roman" w:cs="Calibri Light"/>
          <w:color w:val="auto"/>
          <w:sz w:val="22"/>
          <w:lang w:eastAsia="en-GB"/>
        </w:rPr>
        <w:t xml:space="preserve"> below), unless specifically provided otherwise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(and within the limits of the price revision mechanisms authorised under the procurement procedure). </w:t>
      </w:r>
    </w:p>
    <w:p w14:paraId="57A8B4A6"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E271A3E" w14:textId="77777777" w:rsidR="00D51839" w:rsidRDefault="00D51839" w:rsidP="00D51839">
      <w:pPr>
        <w:numPr>
          <w:ilvl w:val="0"/>
          <w:numId w:val="101"/>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Supplier may charge expenses to EIT UM, to the extent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provides for such possibility. Expenses shall only be paid if EIT UM has given its written approval prior to Supplier incurring said costs. </w:t>
      </w:r>
    </w:p>
    <w:p w14:paraId="3D26C9D7"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41A06C3" w14:textId="77777777" w:rsidR="00D51839" w:rsidRDefault="00D51839" w:rsidP="00D51839">
      <w:pPr>
        <w:numPr>
          <w:ilvl w:val="0"/>
          <w:numId w:val="102"/>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If Supplier fails to fulfil any of its obligations under the Agreement, EIT UM may suspend payment to Supplier, upon notice to Supplier. </w:t>
      </w:r>
    </w:p>
    <w:p w14:paraId="45822F85"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E65E280" w14:textId="77777777" w:rsidR="00D51839" w:rsidRDefault="00D51839" w:rsidP="00D51839">
      <w:pPr>
        <w:numPr>
          <w:ilvl w:val="0"/>
          <w:numId w:val="103"/>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hereby unconditionally accepts that EIT UM has the right to set off any amount that EIT UM owes to Supplier under this Agreement, with any amount Supplier owes to EIT UM under this Agreement or any other agreement. </w:t>
      </w:r>
    </w:p>
    <w:p w14:paraId="15AF1288"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866B090" w14:textId="77777777" w:rsidR="00D51839" w:rsidRDefault="00D51839" w:rsidP="00D51839">
      <w:pPr>
        <w:numPr>
          <w:ilvl w:val="0"/>
          <w:numId w:val="104"/>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Taxes, other contributions, no employment agreement and related indemnification </w:t>
      </w:r>
    </w:p>
    <w:p w14:paraId="16907741"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3F3BC4AA" w14:textId="77777777" w:rsidR="00D51839" w:rsidRDefault="00D51839" w:rsidP="00D51839">
      <w:pPr>
        <w:numPr>
          <w:ilvl w:val="0"/>
          <w:numId w:val="10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All tariffs are gross amounts but exclusive of any value added tax (VAT), sales tax, GST, consumption tax or any other similar tax (“</w:t>
      </w:r>
      <w:r w:rsidRPr="00ED36B4">
        <w:rPr>
          <w:rFonts w:eastAsia="Times New Roman" w:cs="Calibri Light"/>
          <w:b/>
          <w:bCs/>
          <w:color w:val="auto"/>
          <w:sz w:val="22"/>
          <w:lang w:eastAsia="en-GB"/>
        </w:rPr>
        <w:t>Taxes</w:t>
      </w:r>
      <w:r w:rsidRPr="00ED36B4">
        <w:rPr>
          <w:rFonts w:eastAsia="Times New Roman" w:cs="Calibri Light"/>
          <w:color w:val="auto"/>
          <w:sz w:val="22"/>
          <w:lang w:eastAsia="en-GB"/>
        </w:rPr>
        <w:t>”). </w:t>
      </w:r>
    </w:p>
    <w:p w14:paraId="72F4959B"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C1C5212" w14:textId="77777777" w:rsidR="00D51839" w:rsidRDefault="00D51839" w:rsidP="00D51839">
      <w:pPr>
        <w:numPr>
          <w:ilvl w:val="0"/>
          <w:numId w:val="10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If the Services under this Agreement are subject to any other Taxes, Supplier may charge such Taxes to EIT UM, which taxes shall be paid by EIT UM in addition to the compensation for Supplier. Supplier is responsible for paying any applicable Taxes to the appropriate (tax) authorities. </w:t>
      </w:r>
    </w:p>
    <w:p w14:paraId="558552A1"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6BFDF60" w14:textId="77777777" w:rsidR="00D51839" w:rsidRDefault="00D51839" w:rsidP="00D51839">
      <w:pPr>
        <w:numPr>
          <w:ilvl w:val="0"/>
          <w:numId w:val="107"/>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In addition to Articles </w:t>
      </w:r>
      <w:r w:rsidRPr="00ED36B4">
        <w:rPr>
          <w:rFonts w:eastAsia="Times New Roman" w:cs="Calibri Light"/>
          <w:color w:val="000000"/>
          <w:sz w:val="22"/>
          <w:shd w:val="clear" w:color="auto" w:fill="E1E3E6"/>
          <w:lang w:eastAsia="en-GB"/>
        </w:rPr>
        <w:t>5.1</w:t>
      </w:r>
      <w:r w:rsidRPr="00ED36B4">
        <w:rPr>
          <w:rFonts w:eastAsia="Times New Roman" w:cs="Calibri Light"/>
          <w:color w:val="auto"/>
          <w:sz w:val="22"/>
          <w:lang w:eastAsia="en-GB"/>
        </w:rPr>
        <w:t xml:space="preserve"> and </w:t>
      </w:r>
      <w:r w:rsidRPr="00ED36B4">
        <w:rPr>
          <w:rFonts w:eastAsia="Times New Roman" w:cs="Calibri Light"/>
          <w:color w:val="000000"/>
          <w:sz w:val="22"/>
          <w:shd w:val="clear" w:color="auto" w:fill="E1E3E6"/>
          <w:lang w:eastAsia="en-GB"/>
        </w:rPr>
        <w:t>5.2</w:t>
      </w:r>
      <w:r w:rsidRPr="00ED36B4">
        <w:rPr>
          <w:rFonts w:eastAsia="Times New Roman" w:cs="Calibri Light"/>
          <w:color w:val="auto"/>
          <w:sz w:val="22"/>
          <w:lang w:eastAsia="en-GB"/>
        </w:rPr>
        <w:t>, all social security, fiscal charges or taxation of any kind and contributions of any kind including but not limited to value added, levies, withholdings, unemployment, medical insurance and insurance of any kind, pensions, national insurance contributions and social security benefits, as imposed by any law, accommodation and travel costs, living expenses, or other expenses and charges arising from this Agreement, will be the exclusive responsibility of Supplier, who must pay such taxes, charges, any kind of expenses and contributions directly to the competent authorities or employees (as the case may be) (altogether called “</w:t>
      </w:r>
      <w:r w:rsidRPr="00ED36B4">
        <w:rPr>
          <w:rFonts w:eastAsia="Times New Roman" w:cs="Calibri Light"/>
          <w:b/>
          <w:bCs/>
          <w:color w:val="auto"/>
          <w:sz w:val="22"/>
          <w:lang w:eastAsia="en-GB"/>
        </w:rPr>
        <w:t>Contributions</w:t>
      </w:r>
      <w:r w:rsidRPr="00ED36B4">
        <w:rPr>
          <w:rFonts w:eastAsia="Times New Roman" w:cs="Calibri Light"/>
          <w:color w:val="auto"/>
          <w:sz w:val="22"/>
          <w:lang w:eastAsia="en-GB"/>
        </w:rPr>
        <w:t>”). </w:t>
      </w:r>
    </w:p>
    <w:p w14:paraId="39E94D80"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464F096E" w14:textId="77777777" w:rsidR="00D51839" w:rsidRDefault="00D51839" w:rsidP="00D51839">
      <w:pPr>
        <w:numPr>
          <w:ilvl w:val="0"/>
          <w:numId w:val="108"/>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shall perform the Services hereunder as an independent contractor and not as an agent of EIT UM and nothing contained in the Agreement is intended to create a partnership, joint venture or employment relationship between the Parties irrespective of the extent of economic dependency of Supplier on EIT UM. </w:t>
      </w:r>
    </w:p>
    <w:p w14:paraId="6129AA4F"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6778160" w14:textId="77777777" w:rsidR="00D51839" w:rsidRDefault="00D51839" w:rsidP="00D51839">
      <w:pPr>
        <w:numPr>
          <w:ilvl w:val="0"/>
          <w:numId w:val="10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shall indemnify and keep EIT UM harmless from any claims from any authority for payment of any Contributions, including all interest charged in respect thereof, surcharges and possible administrative fines in connection with the Services performed by Supplier on the basis of the Agreement. </w:t>
      </w:r>
    </w:p>
    <w:p w14:paraId="01AB1034"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A994394" w14:textId="77777777" w:rsidR="00D51839" w:rsidRDefault="00D51839" w:rsidP="00D51839">
      <w:pPr>
        <w:numPr>
          <w:ilvl w:val="0"/>
          <w:numId w:val="110"/>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Intellectual property, ownership and licensing, IP infringement indemnification </w:t>
      </w:r>
    </w:p>
    <w:p w14:paraId="04C25073"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2D95016D" w14:textId="77777777" w:rsidR="00D51839" w:rsidRDefault="00D51839" w:rsidP="00D51839">
      <w:pPr>
        <w:numPr>
          <w:ilvl w:val="0"/>
          <w:numId w:val="111"/>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w:t>
      </w:r>
      <w:r w:rsidRPr="00ED36B4">
        <w:rPr>
          <w:rFonts w:eastAsia="Times New Roman" w:cs="Calibri Light"/>
          <w:b/>
          <w:bCs/>
          <w:color w:val="auto"/>
          <w:sz w:val="22"/>
          <w:lang w:eastAsia="en-GB"/>
        </w:rPr>
        <w:t>Intellectual Property Rights</w:t>
      </w:r>
      <w:r w:rsidRPr="00ED36B4">
        <w:rPr>
          <w:rFonts w:eastAsia="Times New Roman" w:cs="Calibri Light"/>
          <w:color w:val="auto"/>
          <w:sz w:val="22"/>
          <w:lang w:eastAsia="en-GB"/>
        </w:rPr>
        <w:t>” or “</w:t>
      </w:r>
      <w:r w:rsidRPr="00ED36B4">
        <w:rPr>
          <w:rFonts w:eastAsia="Times New Roman" w:cs="Calibri Light"/>
          <w:b/>
          <w:bCs/>
          <w:color w:val="auto"/>
          <w:sz w:val="22"/>
          <w:lang w:eastAsia="en-GB"/>
        </w:rPr>
        <w:t>IP</w:t>
      </w:r>
      <w:r w:rsidRPr="00ED36B4">
        <w:rPr>
          <w:rFonts w:eastAsia="Times New Roman" w:cs="Calibri Light"/>
          <w:color w:val="auto"/>
          <w:sz w:val="22"/>
          <w:lang w:eastAsia="en-GB"/>
        </w:rPr>
        <w:t>” shall mean patents, utility certificates, utility models, (industrial) design rights, copyrights, database rights, trademarks, trade names and trade secrets, including moral rights and any applications, renewals, extensions, combinations, divisions, discontinuations or re-issues of the foregoing. </w:t>
      </w:r>
    </w:p>
    <w:p w14:paraId="48648E89"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4BCF2BD" w14:textId="77777777" w:rsidR="00D51839" w:rsidRDefault="00D51839" w:rsidP="00D51839">
      <w:pPr>
        <w:numPr>
          <w:ilvl w:val="0"/>
          <w:numId w:val="112"/>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Unless expressly specified otherwise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should the performance of the Services entail the delivery of (written) advice, reports or any other materials or results (“</w:t>
      </w:r>
      <w:r w:rsidRPr="00ED36B4">
        <w:rPr>
          <w:rFonts w:eastAsia="Times New Roman" w:cs="Calibri Light"/>
          <w:b/>
          <w:bCs/>
          <w:color w:val="auto"/>
          <w:sz w:val="22"/>
          <w:lang w:eastAsia="en-GB"/>
        </w:rPr>
        <w:t>Deliverables</w:t>
      </w:r>
      <w:r w:rsidRPr="00ED36B4">
        <w:rPr>
          <w:rFonts w:eastAsia="Times New Roman" w:cs="Calibri Light"/>
          <w:color w:val="auto"/>
          <w:sz w:val="22"/>
          <w:lang w:eastAsia="en-GB"/>
        </w:rPr>
        <w:t>”), the ownership of any Intellectual Property Rights in such Deliverables shall be vested in EIT UM. </w:t>
      </w:r>
    </w:p>
    <w:p w14:paraId="6FB915BF"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A843F77" w14:textId="77777777" w:rsidR="00D51839" w:rsidRDefault="00D51839" w:rsidP="00D51839">
      <w:pPr>
        <w:numPr>
          <w:ilvl w:val="0"/>
          <w:numId w:val="113"/>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In addition to Article </w:t>
      </w:r>
      <w:r w:rsidRPr="00ED36B4">
        <w:rPr>
          <w:rFonts w:eastAsia="Times New Roman" w:cs="Calibri Light"/>
          <w:color w:val="000000"/>
          <w:sz w:val="22"/>
          <w:shd w:val="clear" w:color="auto" w:fill="E1E3E6"/>
          <w:lang w:eastAsia="en-GB"/>
        </w:rPr>
        <w:t>6.1</w:t>
      </w:r>
      <w:r w:rsidRPr="00ED36B4">
        <w:rPr>
          <w:rFonts w:eastAsia="Times New Roman" w:cs="Calibri Light"/>
          <w:color w:val="auto"/>
          <w:sz w:val="22"/>
          <w:lang w:eastAsia="en-GB"/>
        </w:rPr>
        <w:t>, any item provided by EIT UM (or by a third party designated by EIT UM on behalf of EIT UM) and used to perform the Services and/or embedded in the delivered Services, shall at all times remain the ownership of EIT UM. Supplier shall have no right, title or interest in any of these items nor any trademark or trade name from EIT UM. </w:t>
      </w:r>
    </w:p>
    <w:p w14:paraId="2E839478"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8E38A13" w14:textId="77777777" w:rsidR="00D51839" w:rsidRDefault="00D51839" w:rsidP="00D51839">
      <w:pPr>
        <w:numPr>
          <w:ilvl w:val="0"/>
          <w:numId w:val="114"/>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By exception to Article </w:t>
      </w:r>
      <w:r w:rsidRPr="00ED36B4">
        <w:rPr>
          <w:rFonts w:eastAsia="Times New Roman" w:cs="Calibri Light"/>
          <w:color w:val="000000"/>
          <w:sz w:val="22"/>
          <w:shd w:val="clear" w:color="auto" w:fill="E1E3E6"/>
          <w:lang w:eastAsia="en-GB"/>
        </w:rPr>
        <w:t>6.1</w:t>
      </w:r>
      <w:r w:rsidRPr="00ED36B4">
        <w:rPr>
          <w:rFonts w:eastAsia="Times New Roman" w:cs="Calibri Light"/>
          <w:color w:val="auto"/>
          <w:sz w:val="22"/>
          <w:lang w:eastAsia="en-GB"/>
        </w:rPr>
        <w:t>, Intellectual Property Rights owned or controlled by Supplier before the start of the performance of the Services shall remain the ownership of Supplier (“</w:t>
      </w:r>
      <w:r w:rsidRPr="00ED36B4">
        <w:rPr>
          <w:rFonts w:eastAsia="Times New Roman" w:cs="Calibri Light"/>
          <w:b/>
          <w:bCs/>
          <w:color w:val="auto"/>
          <w:sz w:val="22"/>
          <w:lang w:eastAsia="en-GB"/>
        </w:rPr>
        <w:t>Background IP</w:t>
      </w:r>
      <w:r w:rsidRPr="00ED36B4">
        <w:rPr>
          <w:rFonts w:eastAsia="Times New Roman" w:cs="Calibri Light"/>
          <w:color w:val="auto"/>
          <w:sz w:val="22"/>
          <w:lang w:eastAsia="en-GB"/>
        </w:rPr>
        <w:t>”). </w:t>
      </w:r>
    </w:p>
    <w:p w14:paraId="1C34C383"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F3D2C71" w14:textId="77777777" w:rsidR="00D51839" w:rsidRDefault="00D51839" w:rsidP="00D51839">
      <w:pPr>
        <w:numPr>
          <w:ilvl w:val="0"/>
          <w:numId w:val="11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hereby grant a non-exclusive, royalty-free and fully paid-up, worldwide, irrevocable and perpetual license under its Background IP used for the performance of the Services, to EIT UM, with the right to sublicense, for the use, make, have made, build-in, market, sell, lease, license distribute and/or otherwise dispose of the Services and/or Deliverables. </w:t>
      </w:r>
    </w:p>
    <w:p w14:paraId="58DEB933"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373C4AC" w14:textId="77777777" w:rsidR="00D51839" w:rsidRDefault="00D51839" w:rsidP="00D51839">
      <w:pPr>
        <w:numPr>
          <w:ilvl w:val="0"/>
          <w:numId w:val="11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lastRenderedPageBreak/>
        <w:t>Supplier shall not, without EIT UM’ prior written consent, publicly make any reference to EIT UM, whether in press releases, advertisements, sales literature or otherwise. </w:t>
      </w:r>
    </w:p>
    <w:p w14:paraId="3B4CF0F2"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1C45480" w14:textId="77777777" w:rsidR="00D51839" w:rsidRDefault="00D51839" w:rsidP="00D51839">
      <w:pPr>
        <w:numPr>
          <w:ilvl w:val="0"/>
          <w:numId w:val="117"/>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Unless expressly specified otherwise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w:t>
      </w:r>
    </w:p>
    <w:p w14:paraId="33EA6B26"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431D5092" w14:textId="77777777" w:rsidR="00D51839" w:rsidRDefault="00D51839" w:rsidP="00D51839">
      <w:pPr>
        <w:pStyle w:val="ListParagraph"/>
        <w:numPr>
          <w:ilvl w:val="1"/>
          <w:numId w:val="282"/>
        </w:numPr>
        <w:spacing w:after="0" w:line="240" w:lineRule="auto"/>
        <w:jc w:val="both"/>
        <w:textAlignment w:val="baseline"/>
        <w:rPr>
          <w:rFonts w:eastAsia="Times New Roman" w:cs="Calibri Light"/>
          <w:color w:val="auto"/>
          <w:sz w:val="22"/>
          <w:lang w:eastAsia="en-GB"/>
        </w:rPr>
      </w:pPr>
      <w:r w:rsidRPr="00A71F71">
        <w:rPr>
          <w:rFonts w:eastAsia="Times New Roman" w:cs="Calibri Light"/>
          <w:color w:val="auto"/>
          <w:sz w:val="22"/>
          <w:lang w:eastAsia="en-GB"/>
        </w:rPr>
        <w:t>Supplier shall indemnify and hold harmless EIT UM, its Affiliates, partners, contractors and employees in respect of any and all claims, damages, costs and expenses (including but not limited to loss of profit and reasonable attorneys’ fees) in connection with any third party claim that any of the Services alone or in any combination or their use infringes any third party IPRs, or, if so directed by EIT UM, shall defend any such claim at Supplier’s own expense. By “</w:t>
      </w:r>
      <w:r w:rsidRPr="00A71F71">
        <w:rPr>
          <w:rFonts w:eastAsia="Times New Roman" w:cs="Calibri Light"/>
          <w:b/>
          <w:bCs/>
          <w:color w:val="auto"/>
          <w:sz w:val="22"/>
          <w:lang w:eastAsia="en-GB"/>
        </w:rPr>
        <w:t>Affiliates</w:t>
      </w:r>
      <w:r w:rsidRPr="00A71F71">
        <w:rPr>
          <w:rFonts w:eastAsia="Times New Roman" w:cs="Calibri Light"/>
          <w:color w:val="auto"/>
          <w:sz w:val="22"/>
          <w:lang w:eastAsia="en-GB"/>
        </w:rPr>
        <w:t>” is meant any and all companies, firms and legal entities with respect to which now or hereafter EIT UM, directly or indirectly holds 50% or more of the nominal value of the issued share capital or 50% or more of the voting power at general meetings or has the power to appoint a majority of directors or otherwise to direct the activities of such company, firm or legal entity, including but not limitedly through a domination agreement. </w:t>
      </w:r>
    </w:p>
    <w:p w14:paraId="56A8BA9E" w14:textId="77777777" w:rsidR="00D51839" w:rsidRPr="00A71F71" w:rsidRDefault="00D51839" w:rsidP="00D51839">
      <w:pPr>
        <w:pStyle w:val="ListParagraph"/>
        <w:spacing w:after="0" w:line="240" w:lineRule="auto"/>
        <w:ind w:left="1080"/>
        <w:jc w:val="both"/>
        <w:textAlignment w:val="baseline"/>
        <w:rPr>
          <w:rFonts w:eastAsia="Times New Roman" w:cs="Calibri Light"/>
          <w:color w:val="auto"/>
          <w:sz w:val="22"/>
          <w:lang w:eastAsia="en-GB"/>
        </w:rPr>
      </w:pPr>
    </w:p>
    <w:p w14:paraId="220C277A" w14:textId="77777777" w:rsidR="00D51839" w:rsidRDefault="00D51839" w:rsidP="00D51839">
      <w:pPr>
        <w:pStyle w:val="ListParagraph"/>
        <w:numPr>
          <w:ilvl w:val="1"/>
          <w:numId w:val="282"/>
        </w:numPr>
        <w:spacing w:after="0" w:line="240" w:lineRule="auto"/>
        <w:jc w:val="both"/>
        <w:textAlignment w:val="baseline"/>
        <w:rPr>
          <w:rFonts w:eastAsia="Times New Roman" w:cs="Calibri Light"/>
          <w:color w:val="auto"/>
          <w:sz w:val="22"/>
          <w:lang w:eastAsia="en-GB"/>
        </w:rPr>
      </w:pPr>
      <w:r w:rsidRPr="00A71F71">
        <w:rPr>
          <w:rFonts w:eastAsia="Times New Roman" w:cs="Calibri Light"/>
          <w:color w:val="auto"/>
          <w:sz w:val="22"/>
          <w:lang w:eastAsia="en-GB"/>
        </w:rPr>
        <w:t>EIT UM shall give Supplier prompt written notice of any such claim, provided, however, any delay in notice shall not relieve Supplier of its obligations hereunder except to the extent it is prejudiced by such delay. Supplier shall provide all assistance in connection with any such claim as EIT UM may reasonably require. </w:t>
      </w:r>
    </w:p>
    <w:p w14:paraId="47533243" w14:textId="77777777" w:rsidR="00D51839" w:rsidRPr="00A71F71" w:rsidRDefault="00D51839" w:rsidP="00D51839">
      <w:pPr>
        <w:spacing w:after="0" w:line="240" w:lineRule="auto"/>
        <w:jc w:val="both"/>
        <w:textAlignment w:val="baseline"/>
        <w:rPr>
          <w:rFonts w:eastAsia="Times New Roman" w:cs="Calibri Light"/>
          <w:color w:val="auto"/>
          <w:sz w:val="22"/>
          <w:lang w:eastAsia="en-GB"/>
        </w:rPr>
      </w:pPr>
    </w:p>
    <w:p w14:paraId="5DBBFDFE" w14:textId="77777777" w:rsidR="00D51839" w:rsidRDefault="00D51839" w:rsidP="00D51839">
      <w:pPr>
        <w:pStyle w:val="ListParagraph"/>
        <w:numPr>
          <w:ilvl w:val="1"/>
          <w:numId w:val="282"/>
        </w:numPr>
        <w:spacing w:after="0" w:line="240" w:lineRule="auto"/>
        <w:jc w:val="both"/>
        <w:textAlignment w:val="baseline"/>
        <w:rPr>
          <w:rFonts w:eastAsia="Times New Roman" w:cs="Calibri Light"/>
          <w:color w:val="auto"/>
          <w:sz w:val="22"/>
          <w:lang w:eastAsia="en-GB"/>
        </w:rPr>
      </w:pPr>
      <w:r w:rsidRPr="00A71F71">
        <w:rPr>
          <w:rFonts w:eastAsia="Times New Roman" w:cs="Calibri Light"/>
          <w:color w:val="auto"/>
          <w:sz w:val="22"/>
          <w:lang w:eastAsia="en-GB"/>
        </w:rPr>
        <w:t>If any Services alone or in any combination, provided under the Agreement are held to constitute an infringement or if their use is enjoined, Supplier shall, as directed by EIT UM, but at its own expense: either 1) procure for EIT UM or its users the right to continue using the Services alone or in any combination; or 2) replace or modify the Services alone or in any combination with a functional, non- infringing equivalent.</w:t>
      </w:r>
    </w:p>
    <w:p w14:paraId="100BE852" w14:textId="77777777" w:rsidR="00D51839" w:rsidRPr="00A71F71" w:rsidRDefault="00D51839" w:rsidP="00D51839">
      <w:pPr>
        <w:spacing w:after="0" w:line="240" w:lineRule="auto"/>
        <w:jc w:val="both"/>
        <w:textAlignment w:val="baseline"/>
        <w:rPr>
          <w:rFonts w:eastAsia="Times New Roman" w:cs="Calibri Light"/>
          <w:color w:val="auto"/>
          <w:sz w:val="22"/>
          <w:lang w:eastAsia="en-GB"/>
        </w:rPr>
      </w:pPr>
      <w:r w:rsidRPr="00A71F71">
        <w:rPr>
          <w:rFonts w:eastAsia="Times New Roman" w:cs="Calibri Light"/>
          <w:color w:val="auto"/>
          <w:sz w:val="22"/>
          <w:lang w:eastAsia="en-GB"/>
        </w:rPr>
        <w:t> </w:t>
      </w:r>
    </w:p>
    <w:p w14:paraId="33DC4C9C" w14:textId="77777777" w:rsidR="00D51839" w:rsidRDefault="00D51839" w:rsidP="00D51839">
      <w:pPr>
        <w:pStyle w:val="ListParagraph"/>
        <w:numPr>
          <w:ilvl w:val="1"/>
          <w:numId w:val="282"/>
        </w:numPr>
        <w:spacing w:after="0" w:line="240" w:lineRule="auto"/>
        <w:jc w:val="both"/>
        <w:textAlignment w:val="baseline"/>
        <w:rPr>
          <w:rFonts w:eastAsia="Times New Roman" w:cs="Calibri Light"/>
          <w:color w:val="auto"/>
          <w:sz w:val="22"/>
          <w:lang w:eastAsia="en-GB"/>
        </w:rPr>
      </w:pPr>
      <w:r w:rsidRPr="00A71F71">
        <w:rPr>
          <w:rFonts w:eastAsia="Times New Roman" w:cs="Calibri Light"/>
          <w:color w:val="auto"/>
          <w:sz w:val="22"/>
          <w:lang w:eastAsia="en-GB"/>
        </w:rPr>
        <w:t>If Supplier is unable either to procure for EIT UM the right to continue to use the Services alone or in any combination or to replace or modify the Services alone or in any combination in accordance with the above, EIT UM may terminate the Agreement and upon such termination, Supplier shall reimburse to EIT UM the price paid, without prejudice to Supplier's obligation to indemnify EIT UM as set forth herein. </w:t>
      </w:r>
    </w:p>
    <w:p w14:paraId="2573C6B4" w14:textId="77777777" w:rsidR="00D51839" w:rsidRPr="00A71F71" w:rsidRDefault="00D51839" w:rsidP="00D51839">
      <w:pPr>
        <w:pStyle w:val="ListParagraph"/>
        <w:rPr>
          <w:rFonts w:eastAsia="Times New Roman" w:cs="Calibri Light"/>
          <w:color w:val="auto"/>
          <w:sz w:val="22"/>
          <w:lang w:eastAsia="en-GB"/>
        </w:rPr>
      </w:pPr>
    </w:p>
    <w:p w14:paraId="659AAC8C" w14:textId="77777777" w:rsidR="00D51839" w:rsidRPr="00A71F71" w:rsidRDefault="00D51839" w:rsidP="00D51839">
      <w:pPr>
        <w:pStyle w:val="ListParagraph"/>
        <w:spacing w:after="0" w:line="240" w:lineRule="auto"/>
        <w:ind w:left="1080"/>
        <w:jc w:val="both"/>
        <w:textAlignment w:val="baseline"/>
        <w:rPr>
          <w:rFonts w:eastAsia="Times New Roman" w:cs="Calibri Light"/>
          <w:color w:val="auto"/>
          <w:sz w:val="22"/>
          <w:lang w:eastAsia="en-GB"/>
        </w:rPr>
      </w:pPr>
    </w:p>
    <w:p w14:paraId="79DA69CC" w14:textId="77777777" w:rsidR="00D51839" w:rsidRDefault="00D51839" w:rsidP="00D51839">
      <w:pPr>
        <w:numPr>
          <w:ilvl w:val="0"/>
          <w:numId w:val="118"/>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Confidentiality, documents </w:t>
      </w:r>
    </w:p>
    <w:p w14:paraId="4B19A960"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3283A1DD" w14:textId="77777777" w:rsidR="00D51839" w:rsidRDefault="00D51839" w:rsidP="00D51839">
      <w:pPr>
        <w:numPr>
          <w:ilvl w:val="0"/>
          <w:numId w:val="11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w:t>
      </w:r>
      <w:r w:rsidRPr="00ED36B4">
        <w:rPr>
          <w:rFonts w:eastAsia="Times New Roman" w:cs="Calibri Light"/>
          <w:b/>
          <w:bCs/>
          <w:color w:val="auto"/>
          <w:sz w:val="22"/>
          <w:lang w:eastAsia="en-GB"/>
        </w:rPr>
        <w:t>Confidential Information</w:t>
      </w:r>
      <w:r w:rsidRPr="00ED36B4">
        <w:rPr>
          <w:rFonts w:eastAsia="Times New Roman" w:cs="Calibri Light"/>
          <w:color w:val="auto"/>
          <w:sz w:val="22"/>
          <w:lang w:eastAsia="en-GB"/>
        </w:rPr>
        <w:t>” means any and all proprietary and/or confidential data and information, such as but not limited to commercial and/or technical information, that EIT UM, its Affiliates or representatives may disclose directly or indirectly, whether in writing or any other form, to Supplier that is related to the Service, which (a) is marked as “confidential” or “proprietary” or words of similar import when disclosed, and (b) is orally disclosed and is summarized and described as confidential in a writing that is delivered to Supplier within fifteen (15) days of disclosure.</w:t>
      </w:r>
    </w:p>
    <w:p w14:paraId="7EE57AE4"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44A87457" w14:textId="77777777" w:rsidR="00D51839" w:rsidRDefault="00D51839" w:rsidP="00D51839">
      <w:pPr>
        <w:numPr>
          <w:ilvl w:val="0"/>
          <w:numId w:val="120"/>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During the period beginning on the Effective Date (as specified in </w:t>
      </w:r>
      <w:r w:rsidRPr="00ED36B4">
        <w:rPr>
          <w:rFonts w:eastAsia="Times New Roman" w:cs="Calibri Light"/>
          <w:color w:val="auto"/>
          <w:sz w:val="22"/>
          <w:u w:val="single"/>
          <w:lang w:eastAsia="en-GB"/>
        </w:rPr>
        <w:t>Annex I</w:t>
      </w:r>
      <w:r w:rsidRPr="00ED36B4">
        <w:rPr>
          <w:rFonts w:eastAsia="Times New Roman" w:cs="Calibri Light"/>
          <w:color w:val="auto"/>
          <w:sz w:val="22"/>
          <w:lang w:eastAsia="en-GB"/>
        </w:rPr>
        <w:t>) and continuing for a period of five (5) years thereafter (the “</w:t>
      </w:r>
      <w:r w:rsidRPr="00ED36B4">
        <w:rPr>
          <w:rFonts w:eastAsia="Times New Roman" w:cs="Calibri Light"/>
          <w:b/>
          <w:bCs/>
          <w:color w:val="auto"/>
          <w:sz w:val="22"/>
          <w:lang w:eastAsia="en-GB"/>
        </w:rPr>
        <w:t>Confidentiality Period</w:t>
      </w:r>
      <w:r w:rsidRPr="00ED36B4">
        <w:rPr>
          <w:rFonts w:eastAsia="Times New Roman" w:cs="Calibri Light"/>
          <w:color w:val="auto"/>
          <w:sz w:val="22"/>
          <w:lang w:eastAsia="en-GB"/>
        </w:rPr>
        <w:t>”), Supplier agrees not to: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xml:space="preserve">) </w:t>
      </w:r>
      <w:r w:rsidRPr="00ED36B4">
        <w:rPr>
          <w:rFonts w:eastAsia="Times New Roman" w:cs="Calibri Light"/>
          <w:color w:val="auto"/>
          <w:sz w:val="22"/>
          <w:lang w:eastAsia="en-GB"/>
        </w:rPr>
        <w:lastRenderedPageBreak/>
        <w:t>use EIT UM’ Confidential Information for any purpose other than for the Service; and (ii) disclose EIT UM Confidential Information to any third party, except to its employees and other persons under its supervision that are operating within its organization, including without limitation, its Partners’ employees who (A) have a legitimate “need to know” to accomplish the Service, and (B) are obligated to protect such Confidential Information pursuant to terms and conditions not less restrictive than those contained in this Agreement. Supplier shall protect EIT UM’ Confidential Information as required hereunder using the same degree of care, but no less than a reasonable degree of care, as Supplier uses to protect its own confidential information of a like nature. </w:t>
      </w:r>
    </w:p>
    <w:p w14:paraId="0D83FCA9"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B8084B6" w14:textId="77777777" w:rsidR="00D51839" w:rsidRDefault="00D51839" w:rsidP="00D51839">
      <w:pPr>
        <w:numPr>
          <w:ilvl w:val="0"/>
          <w:numId w:val="121"/>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Supplier’s obligations above shall not apply to any data or information that it can prove: (a) is lawfully available to Supplier, prior to the time of receipt from EIT UM as verified by written records; (b) is or becomes publicly available without violation of this Agreement or any other obligation of confidentiality and through no act or omission of Supplier; (c) is lawfully furnished to Supplier by a third party without use or disclosure restrictions; or (d) is developed by Supplier without use of or reference to any of EIT UM’ Confidential Information. Furthermore, a disclosure by Supplier that is required pursuant to any judicial or governmental proceeding shall not be considered a breach of this Agreement, provided that Supplier promptly after learning of such action shall notify, to the extent permitted by applicable law, EIT UM thereof to give EIT UM the opportunity to contest disclosure or to seek any available legal remedies to maintain such information in confidence. </w:t>
      </w:r>
    </w:p>
    <w:p w14:paraId="2C6FFF21"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F9B53A0" w14:textId="77777777" w:rsidR="00D51839" w:rsidRDefault="00D51839" w:rsidP="00D51839">
      <w:pPr>
        <w:numPr>
          <w:ilvl w:val="0"/>
          <w:numId w:val="122"/>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is not permitted - alone or with or through others – to remove, dispatch, transmit or allow any third parties to inspect, use or otherwise have access to any property belonging to EIT UM or any of its Affiliates, including but not limited to any notes, drawings, letters, formulas, recipes, other documents and/or any copies thereof, tools, designs, products manufactured or (copies of) computer files or other data carriers, unless EIT UM has given its prior written permission to any such action. </w:t>
      </w:r>
    </w:p>
    <w:p w14:paraId="64E41BA1"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E04EF05" w14:textId="77777777" w:rsidR="00D51839" w:rsidRDefault="00D51839" w:rsidP="00D51839">
      <w:pPr>
        <w:numPr>
          <w:ilvl w:val="0"/>
          <w:numId w:val="123"/>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EIT UM shall remain the owner of all property it has made available to Supplier in connection with this Agreement. </w:t>
      </w:r>
    </w:p>
    <w:p w14:paraId="3E524C23"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63FB2D4" w14:textId="77777777" w:rsidR="00D51839" w:rsidRDefault="00D51839" w:rsidP="00D51839">
      <w:pPr>
        <w:numPr>
          <w:ilvl w:val="0"/>
          <w:numId w:val="124"/>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shall make all property belonging to EIT UM (or its Affiliates) such as, but not limited to any notes, drawings, letters, formulas, recipes, other documents and/or copies of such matters, tools, models, finished products, (copies of) automated files or other data carriers, which come into its possession during the term of this Agreement, available to EIT UM in good condition immediately upon initial request, but in any case on the day on which the Agreement ends. </w:t>
      </w:r>
    </w:p>
    <w:p w14:paraId="04BC603C"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49C4A2F5" w14:textId="77777777" w:rsidR="00D51839" w:rsidRDefault="00D51839" w:rsidP="00D51839">
      <w:pPr>
        <w:numPr>
          <w:ilvl w:val="0"/>
          <w:numId w:val="125"/>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Personal data </w:t>
      </w:r>
    </w:p>
    <w:p w14:paraId="17AC5D95"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4A8EE908" w14:textId="77777777" w:rsidR="00D51839" w:rsidRPr="00ED36B4" w:rsidRDefault="00D51839" w:rsidP="00D51839">
      <w:pPr>
        <w:numPr>
          <w:ilvl w:val="0"/>
          <w:numId w:val="12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For the purpose of this Agreement,  </w:t>
      </w:r>
    </w:p>
    <w:p w14:paraId="678EB1D1" w14:textId="77777777" w:rsidR="00D51839" w:rsidRPr="00ED36B4" w:rsidRDefault="00D51839" w:rsidP="00D51839">
      <w:pPr>
        <w:numPr>
          <w:ilvl w:val="0"/>
          <w:numId w:val="127"/>
        </w:numPr>
        <w:spacing w:after="0" w:line="240" w:lineRule="auto"/>
        <w:ind w:left="1155"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w:t>
      </w:r>
      <w:r w:rsidRPr="00ED36B4">
        <w:rPr>
          <w:rFonts w:eastAsia="Times New Roman" w:cs="Calibri Light"/>
          <w:b/>
          <w:bCs/>
          <w:color w:val="auto"/>
          <w:sz w:val="22"/>
          <w:lang w:eastAsia="en-GB"/>
        </w:rPr>
        <w:t>Personal Data</w:t>
      </w:r>
      <w:r w:rsidRPr="00ED36B4">
        <w:rPr>
          <w:rFonts w:eastAsia="Times New Roman" w:cs="Calibri Light"/>
          <w:color w:val="auto"/>
          <w:sz w:val="22"/>
          <w:lang w:eastAsia="en-GB"/>
        </w:rPr>
        <w:t>” shall mean any and all information relating to an identified or identifiable individual, including but not limited to EIT UM current or former employees, employee family members, dependents or beneficiaries, customers, consumers, suppliers, business partners or contractors; </w:t>
      </w:r>
    </w:p>
    <w:p w14:paraId="68489DED" w14:textId="77777777" w:rsidR="00D51839" w:rsidRDefault="00D51839" w:rsidP="00D51839">
      <w:pPr>
        <w:numPr>
          <w:ilvl w:val="0"/>
          <w:numId w:val="128"/>
        </w:numPr>
        <w:spacing w:after="0" w:line="240" w:lineRule="auto"/>
        <w:ind w:left="1155"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w:t>
      </w:r>
      <w:r w:rsidRPr="00ED36B4">
        <w:rPr>
          <w:rFonts w:eastAsia="Times New Roman" w:cs="Calibri Light"/>
          <w:b/>
          <w:bCs/>
          <w:color w:val="auto"/>
          <w:sz w:val="22"/>
          <w:lang w:eastAsia="en-GB"/>
        </w:rPr>
        <w:t>Processing</w:t>
      </w:r>
      <w:r w:rsidRPr="00ED36B4">
        <w:rPr>
          <w:rFonts w:eastAsia="Times New Roman" w:cs="Calibri Light"/>
          <w:color w:val="auto"/>
          <w:sz w:val="22"/>
          <w:lang w:eastAsia="en-GB"/>
        </w:rPr>
        <w:t xml:space="preserve">” shall mean any operation or set of operations performed or to be performed upon Personal Data, whether or not by automatic means, such as creation, </w:t>
      </w:r>
      <w:r w:rsidRPr="00ED36B4">
        <w:rPr>
          <w:rFonts w:eastAsia="Times New Roman" w:cs="Calibri Light"/>
          <w:color w:val="auto"/>
          <w:sz w:val="22"/>
          <w:lang w:eastAsia="en-GB"/>
        </w:rPr>
        <w:lastRenderedPageBreak/>
        <w:t>access, collection, recording, organization, storage, loading, employing, adaptation or alteration, retrieval, consultation, displaying, use, disclosure, dissemination or otherwise making available, alignment or combination, blocking, erasure or destruction (hereinafter also referred to as a verb “</w:t>
      </w:r>
      <w:r w:rsidRPr="00ED36B4">
        <w:rPr>
          <w:rFonts w:eastAsia="Times New Roman" w:cs="Calibri Light"/>
          <w:b/>
          <w:bCs/>
          <w:color w:val="auto"/>
          <w:sz w:val="22"/>
          <w:lang w:eastAsia="en-GB"/>
        </w:rPr>
        <w:t>Process</w:t>
      </w:r>
      <w:r w:rsidRPr="00ED36B4">
        <w:rPr>
          <w:rFonts w:eastAsia="Times New Roman" w:cs="Calibri Light"/>
          <w:color w:val="auto"/>
          <w:sz w:val="22"/>
          <w:lang w:eastAsia="en-GB"/>
        </w:rPr>
        <w:t>”). </w:t>
      </w:r>
    </w:p>
    <w:p w14:paraId="44DF88BB" w14:textId="77777777" w:rsidR="00D51839" w:rsidRPr="00ED36B4" w:rsidRDefault="00D51839" w:rsidP="00D51839">
      <w:pPr>
        <w:spacing w:after="0" w:line="240" w:lineRule="auto"/>
        <w:ind w:left="1155"/>
        <w:jc w:val="both"/>
        <w:textAlignment w:val="baseline"/>
        <w:rPr>
          <w:rFonts w:eastAsia="Times New Roman" w:cs="Calibri Light"/>
          <w:color w:val="auto"/>
          <w:sz w:val="22"/>
          <w:lang w:eastAsia="en-GB"/>
        </w:rPr>
      </w:pPr>
    </w:p>
    <w:p w14:paraId="4E8D3C88" w14:textId="77777777" w:rsidR="00D51839" w:rsidRPr="00ED36B4" w:rsidRDefault="00D51839" w:rsidP="00D51839">
      <w:pPr>
        <w:numPr>
          <w:ilvl w:val="0"/>
          <w:numId w:val="12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Where Supplier in the performance of the Agreement Processes Personal Data, then Supplier agrees and warrants that Supplier shall: </w:t>
      </w:r>
    </w:p>
    <w:p w14:paraId="1B581C01" w14:textId="77777777" w:rsidR="00D51839" w:rsidRPr="00ED36B4" w:rsidRDefault="00D51839" w:rsidP="00D51839">
      <w:pPr>
        <w:numPr>
          <w:ilvl w:val="0"/>
          <w:numId w:val="130"/>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comply with all privacy and data protection law and regulations applicable to its Services; </w:t>
      </w:r>
    </w:p>
    <w:p w14:paraId="1E3709BD" w14:textId="77777777" w:rsidR="00D51839" w:rsidRPr="00ED36B4" w:rsidRDefault="00D51839" w:rsidP="00D51839">
      <w:pPr>
        <w:numPr>
          <w:ilvl w:val="0"/>
          <w:numId w:val="131"/>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Process Personal Data only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on behalf of and for the benefit of EIT UM, (ii) in accordance with EIT UM’ instructions, and (iii) for the purposes authorized by this Agreement or otherwise by EIT UM, and (iv) insofar necessary for the Services rendered to EIT UM and as permitted or required by law; </w:t>
      </w:r>
    </w:p>
    <w:p w14:paraId="407D540D" w14:textId="77777777" w:rsidR="00D51839" w:rsidRPr="00ED36B4" w:rsidRDefault="00D51839" w:rsidP="00D51839">
      <w:pPr>
        <w:numPr>
          <w:ilvl w:val="0"/>
          <w:numId w:val="132"/>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maintain the security, confidentiality, integrity and availability of the Personal Data; </w:t>
      </w:r>
    </w:p>
    <w:p w14:paraId="230E6000" w14:textId="77777777" w:rsidR="00D51839" w:rsidRPr="00ED36B4" w:rsidRDefault="00D51839" w:rsidP="00D51839">
      <w:pPr>
        <w:numPr>
          <w:ilvl w:val="0"/>
          <w:numId w:val="133"/>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implement and maintain appropriate technical, physical, organizational and administrative security measures, procedures, practices and other safeguards to protect the Personal Data against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anticipatable threats or hazards to its security and integrity; and (ii) loss, unauthorized access to, or acquisition or use of or unlawful Processing; and </w:t>
      </w:r>
    </w:p>
    <w:p w14:paraId="79859B57" w14:textId="77777777" w:rsidR="00D51839" w:rsidRPr="00ED36B4" w:rsidRDefault="00D51839" w:rsidP="00D51839">
      <w:pPr>
        <w:numPr>
          <w:ilvl w:val="0"/>
          <w:numId w:val="134"/>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promptly inform EIT UM of any actual or suspected security incident involving the Personal Data. </w:t>
      </w:r>
    </w:p>
    <w:p w14:paraId="15A5536A" w14:textId="77777777" w:rsidR="00D51839" w:rsidRPr="00ED36B4" w:rsidRDefault="00D51839" w:rsidP="00D51839">
      <w:pPr>
        <w:spacing w:after="0" w:line="240" w:lineRule="auto"/>
        <w:ind w:left="555"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027DD843" w14:textId="77777777" w:rsidR="00D51839" w:rsidRDefault="00D51839" w:rsidP="00D51839">
      <w:pPr>
        <w:spacing w:after="0" w:line="240" w:lineRule="auto"/>
        <w:ind w:left="705" w:right="-15"/>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 xml:space="preserve">Without prejudice to the above, where Supplier in the performance of the Agreement processes Personal Data, the Parties also execute the data processing agreement attached as </w:t>
      </w:r>
      <w:r w:rsidRPr="00ED36B4">
        <w:rPr>
          <w:rFonts w:eastAsia="Times New Roman" w:cs="Calibri Light"/>
          <w:color w:val="auto"/>
          <w:sz w:val="22"/>
          <w:u w:val="single"/>
          <w:lang w:val="hu-HU" w:eastAsia="en-GB"/>
        </w:rPr>
        <w:t>Annex 2</w:t>
      </w:r>
      <w:r w:rsidRPr="00ED36B4">
        <w:rPr>
          <w:rFonts w:eastAsia="Times New Roman" w:cs="Calibri Light"/>
          <w:color w:val="auto"/>
          <w:sz w:val="22"/>
          <w:lang w:val="hu-HU" w:eastAsia="en-GB"/>
        </w:rPr>
        <w:t xml:space="preserve">. </w:t>
      </w:r>
      <w:r w:rsidRPr="00ED36B4">
        <w:rPr>
          <w:rFonts w:eastAsia="Times New Roman" w:cs="Calibri Light"/>
          <w:color w:val="auto"/>
          <w:sz w:val="22"/>
          <w:lang w:eastAsia="en-GB"/>
        </w:rPr>
        <w:t>  </w:t>
      </w:r>
    </w:p>
    <w:p w14:paraId="30DE3225"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p>
    <w:p w14:paraId="57368AF0" w14:textId="77777777" w:rsidR="00D51839" w:rsidRDefault="00D51839" w:rsidP="00D51839">
      <w:pPr>
        <w:numPr>
          <w:ilvl w:val="0"/>
          <w:numId w:val="13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To the extent that Supplier allows a (sub)contractor to process the Personal Data, Supplier shall ensure that it binds such (sub)contractor to obligations which provide a similar level of protection, but in no way less restrictive, as this </w:t>
      </w:r>
      <w:r w:rsidRPr="00ED36B4">
        <w:rPr>
          <w:rFonts w:eastAsia="Times New Roman" w:cs="Calibri Light"/>
          <w:color w:val="000000"/>
          <w:sz w:val="22"/>
          <w:shd w:val="clear" w:color="auto" w:fill="E1E3E6"/>
          <w:lang w:eastAsia="en-GB"/>
        </w:rPr>
        <w:t>Article 8:</w:t>
      </w:r>
      <w:r w:rsidRPr="00ED36B4">
        <w:rPr>
          <w:rFonts w:eastAsia="Times New Roman" w:cs="Calibri Light"/>
          <w:color w:val="auto"/>
          <w:sz w:val="22"/>
          <w:lang w:eastAsia="en-GB"/>
        </w:rPr>
        <w:t>. </w:t>
      </w:r>
    </w:p>
    <w:p w14:paraId="627CED55"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6DA9AF0B" w14:textId="77777777" w:rsidR="00D51839" w:rsidRDefault="00D51839" w:rsidP="00D51839">
      <w:pPr>
        <w:numPr>
          <w:ilvl w:val="0"/>
          <w:numId w:val="13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shall, upon the termination of the Agreement, securely erase or destroy all records or documents containing the Personal Data. Supplier accepts and confirms that it is solely liable for any unauthorized or illegal processing or loss of the Personal Data, if Supplier fails to erase or destroy the Personal Data upon termination of the Agreement. </w:t>
      </w:r>
    </w:p>
    <w:p w14:paraId="21AD18AF"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898A368" w14:textId="77777777" w:rsidR="00D51839" w:rsidRDefault="00D51839" w:rsidP="00D51839">
      <w:pPr>
        <w:numPr>
          <w:ilvl w:val="0"/>
          <w:numId w:val="137"/>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Supplier shall indemnify and hold harmless EIT UM, their officers, agents and personnel from any damages, fines, losses and claims arising out of a breach of this </w:t>
      </w:r>
      <w:r w:rsidRPr="00ED36B4">
        <w:rPr>
          <w:rFonts w:eastAsia="Times New Roman" w:cs="Calibri Light"/>
          <w:color w:val="000000"/>
          <w:sz w:val="22"/>
          <w:shd w:val="clear" w:color="auto" w:fill="E1E3E6"/>
          <w:lang w:eastAsia="en-GB"/>
        </w:rPr>
        <w:t>Article 8:</w:t>
      </w:r>
      <w:r w:rsidRPr="00ED36B4">
        <w:rPr>
          <w:rFonts w:eastAsia="Times New Roman" w:cs="Calibri Light"/>
          <w:color w:val="auto"/>
          <w:sz w:val="22"/>
          <w:lang w:eastAsia="en-GB"/>
        </w:rPr>
        <w:t>. </w:t>
      </w:r>
    </w:p>
    <w:p w14:paraId="62C1783D"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32EA37D" w14:textId="77777777" w:rsidR="00D51839" w:rsidRDefault="00D51839" w:rsidP="00D51839">
      <w:pPr>
        <w:numPr>
          <w:ilvl w:val="0"/>
          <w:numId w:val="138"/>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Liability, indemnification, insurance </w:t>
      </w:r>
    </w:p>
    <w:p w14:paraId="1F42B865"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5DA8C731" w14:textId="77777777" w:rsidR="00D51839" w:rsidRDefault="00D51839" w:rsidP="00D51839">
      <w:pPr>
        <w:numPr>
          <w:ilvl w:val="0"/>
          <w:numId w:val="13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Supplier shall indemnify and hold harmless EIT UM, its Affiliates, agents and employees, from and against all suits, actions, legal or administrative proceedings, claims, demands, damages, judgments, liabilities, interest, attorneys’ fees, costs and expenses of whatsoever kind or nature (including but not limited to special, indirect, incidental, consequential damages), whether arising before or after completion of the performance of the Services covered by the Agreement, in any manner caused or claimed to be caused by the acts, omissions, faults, breach of express or implied warranty, breach of any of the provisions of this Agreement, or negligence </w:t>
      </w:r>
      <w:r w:rsidRPr="00ED36B4">
        <w:rPr>
          <w:rFonts w:eastAsia="Times New Roman" w:cs="Calibri Light"/>
          <w:color w:val="auto"/>
          <w:sz w:val="22"/>
          <w:lang w:eastAsia="en-GB"/>
        </w:rPr>
        <w:lastRenderedPageBreak/>
        <w:t>of Supplier, or of anyone acting under its direction or control or on its behalf, in connection with Services or any other information furnished by Supplier to EIT UM under the Agreement. </w:t>
      </w:r>
    </w:p>
    <w:p w14:paraId="2EEE8E19"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0CE331F" w14:textId="77777777" w:rsidR="00D51839" w:rsidRDefault="00D51839" w:rsidP="00D51839">
      <w:pPr>
        <w:numPr>
          <w:ilvl w:val="0"/>
          <w:numId w:val="140"/>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warrants that it has taken out sufficient insurance against the aforementioned damage, costs and interest, or has made a sufficient provision for this purpose and is obliged to fully disclose to EIT UM immediately upon initial request all the (policy conditions of the) aforementioned insurance(s) and/or provisions. Supplier shall indemnify EIT UM and shall pay its insurance proceeds to EIT UM and furthermore indemnify for the excess amount of the total claim of damages that is not covered by the insurance of Supplier or any other insurance. EIT UM shall be entitled to take legal action against Supplier. </w:t>
      </w:r>
    </w:p>
    <w:p w14:paraId="518BDE2A"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DD6CA0B" w14:textId="77777777" w:rsidR="00D51839" w:rsidRDefault="00D51839" w:rsidP="00D51839">
      <w:pPr>
        <w:numPr>
          <w:ilvl w:val="0"/>
          <w:numId w:val="141"/>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Neither Party excludes or limits its liability for death or personal injury arising from its own negligence, fraud, breach of confidentiality or for any liability that cannot by law be excluded or limited. </w:t>
      </w:r>
    </w:p>
    <w:p w14:paraId="34121191"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438AE09" w14:textId="77777777" w:rsidR="00D51839" w:rsidRDefault="00D51839" w:rsidP="00D51839">
      <w:pPr>
        <w:numPr>
          <w:ilvl w:val="0"/>
          <w:numId w:val="142"/>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Subject to Article </w:t>
      </w:r>
      <w:r w:rsidRPr="00ED36B4">
        <w:rPr>
          <w:rFonts w:eastAsia="Times New Roman" w:cs="Calibri Light"/>
          <w:color w:val="000000"/>
          <w:sz w:val="22"/>
          <w:shd w:val="clear" w:color="auto" w:fill="E1E3E6"/>
          <w:lang w:eastAsia="en-GB"/>
        </w:rPr>
        <w:t>9.3</w:t>
      </w:r>
      <w:r w:rsidRPr="00ED36B4">
        <w:rPr>
          <w:rFonts w:eastAsia="Times New Roman" w:cs="Calibri Light"/>
          <w:color w:val="auto"/>
          <w:sz w:val="22"/>
          <w:lang w:eastAsia="en-GB"/>
        </w:rPr>
        <w:t>, in no event shall EIT UM be liable under any theory of liability, for indirect, incidental, special, consequential or punitive damages, which includes without limitation damages for lost profits or revenues, lost business opportunities, loss of image or lost data, even if EIT UM has been advised of the possibility of such damages and in no event shall EIT UM be liable to Supplier, its successors or assigns for damages in excess of the amount due to Supplier for complete performance under the Agreement, less any amounts already paid to Supplier by EIT UM. </w:t>
      </w:r>
    </w:p>
    <w:p w14:paraId="7D79583F"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33B65F1" w14:textId="77777777" w:rsidR="00D51839" w:rsidRDefault="00D51839" w:rsidP="00D51839">
      <w:pPr>
        <w:numPr>
          <w:ilvl w:val="0"/>
          <w:numId w:val="143"/>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Subject always to Article </w:t>
      </w:r>
      <w:r w:rsidRPr="00ED36B4">
        <w:rPr>
          <w:rFonts w:eastAsia="Times New Roman" w:cs="Calibri Light"/>
          <w:color w:val="000000"/>
          <w:sz w:val="22"/>
          <w:shd w:val="clear" w:color="auto" w:fill="E1E3E6"/>
          <w:lang w:eastAsia="en-GB"/>
        </w:rPr>
        <w:t>9.3</w:t>
      </w:r>
      <w:r w:rsidRPr="00ED36B4">
        <w:rPr>
          <w:rFonts w:eastAsia="Times New Roman" w:cs="Calibri Light"/>
          <w:color w:val="auto"/>
          <w:sz w:val="22"/>
          <w:lang w:eastAsia="en-GB"/>
        </w:rPr>
        <w:t xml:space="preserve">, depending on the nature of the Services and the liability risk associated therewith, a cap to the liability of Supplier under this Agreement may apply only if expressly mutually agreed in writing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w:t>
      </w:r>
    </w:p>
    <w:p w14:paraId="08C2AE8A"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FAE8B66" w14:textId="77777777" w:rsidR="00D51839" w:rsidRDefault="00D51839" w:rsidP="00D51839">
      <w:pPr>
        <w:numPr>
          <w:ilvl w:val="0"/>
          <w:numId w:val="144"/>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Suspension, termination of the Agreement </w:t>
      </w:r>
    </w:p>
    <w:p w14:paraId="5626826C"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1E66562F" w14:textId="77777777" w:rsidR="00D51839" w:rsidRDefault="00D51839" w:rsidP="00D51839">
      <w:pPr>
        <w:numPr>
          <w:ilvl w:val="0"/>
          <w:numId w:val="14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The Agreement is entered into as from the Effective Date (as specified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and shall end by operation of law, without the requirement of prior notice of termination, on the date the last of the Services have been delivered by Supplier, accepted and paid by EIT UM (the “</w:t>
      </w:r>
      <w:r w:rsidRPr="00ED36B4">
        <w:rPr>
          <w:rFonts w:eastAsia="Times New Roman" w:cs="Calibri Light"/>
          <w:b/>
          <w:bCs/>
          <w:color w:val="auto"/>
          <w:sz w:val="22"/>
          <w:lang w:eastAsia="en-GB"/>
        </w:rPr>
        <w:t>Term</w:t>
      </w:r>
      <w:r w:rsidRPr="00ED36B4">
        <w:rPr>
          <w:rFonts w:eastAsia="Times New Roman" w:cs="Calibri Light"/>
          <w:color w:val="auto"/>
          <w:sz w:val="22"/>
          <w:lang w:eastAsia="en-GB"/>
        </w:rPr>
        <w:t>”). </w:t>
      </w:r>
    </w:p>
    <w:p w14:paraId="57050098"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5F4B7E8" w14:textId="77777777" w:rsidR="00D51839" w:rsidRPr="00ED36B4" w:rsidRDefault="00D51839" w:rsidP="00D51839">
      <w:pPr>
        <w:numPr>
          <w:ilvl w:val="0"/>
          <w:numId w:val="14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As an exception to the above, EIT UM may suspend, withdraw, dissolve or terminate this Agreement fully or partially with immediate effect without incurring any penalty or compensation if and as soon as: </w:t>
      </w:r>
    </w:p>
    <w:p w14:paraId="484046AD" w14:textId="77777777" w:rsidR="00D51839" w:rsidRPr="00ED36B4" w:rsidRDefault="00D51839" w:rsidP="00D51839">
      <w:pPr>
        <w:numPr>
          <w:ilvl w:val="0"/>
          <w:numId w:val="147"/>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breaches any of its material obligations under this Agreement and, notwithstanding a written request from EIT UM to repair the current breach and to take appropriate measures to prevent such a breach in the future, fails to comply with such a request within a reasonable deadline fixed by EIT UM in the notice; or </w:t>
      </w:r>
    </w:p>
    <w:p w14:paraId="64E43D60" w14:textId="77777777" w:rsidR="00D51839" w:rsidRPr="00ED36B4" w:rsidRDefault="00D51839" w:rsidP="00D51839">
      <w:pPr>
        <w:numPr>
          <w:ilvl w:val="0"/>
          <w:numId w:val="148"/>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EIT UM, in its reasonable discretion, determines that Supplier is not able to perform the Services as required; or </w:t>
      </w:r>
    </w:p>
    <w:p w14:paraId="2313869C" w14:textId="77777777" w:rsidR="00D51839" w:rsidRPr="00ED36B4" w:rsidRDefault="00D51839" w:rsidP="00D51839">
      <w:pPr>
        <w:numPr>
          <w:ilvl w:val="0"/>
          <w:numId w:val="149"/>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fails to provide EIT UM with adequate assurance of performance following request by EIT UM; or </w:t>
      </w:r>
    </w:p>
    <w:p w14:paraId="3F1FD661" w14:textId="77777777" w:rsidR="00D51839" w:rsidRPr="00ED36B4" w:rsidRDefault="00D51839" w:rsidP="00D51839">
      <w:pPr>
        <w:numPr>
          <w:ilvl w:val="0"/>
          <w:numId w:val="150"/>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files a petition for bankruptcy or is declared bankrupt; or </w:t>
      </w:r>
    </w:p>
    <w:p w14:paraId="43701A8F" w14:textId="77777777" w:rsidR="00D51839" w:rsidRPr="00ED36B4" w:rsidRDefault="00D51839" w:rsidP="00D51839">
      <w:pPr>
        <w:numPr>
          <w:ilvl w:val="0"/>
          <w:numId w:val="151"/>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lastRenderedPageBreak/>
        <w:t>Supplier has become unable to pay its debts as they fall due or make any special arrangement(s) or composition with its creditors;  </w:t>
      </w:r>
    </w:p>
    <w:p w14:paraId="3EB7B930" w14:textId="77777777" w:rsidR="00D51839" w:rsidRPr="00ED36B4" w:rsidRDefault="00D51839" w:rsidP="00D51839">
      <w:pPr>
        <w:numPr>
          <w:ilvl w:val="0"/>
          <w:numId w:val="152"/>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enters into voluntary or judicial liquidation; </w:t>
      </w:r>
    </w:p>
    <w:p w14:paraId="29484D17" w14:textId="77777777" w:rsidR="00D51839" w:rsidRPr="00ED36B4" w:rsidRDefault="00D51839" w:rsidP="00D51839">
      <w:pPr>
        <w:numPr>
          <w:ilvl w:val="0"/>
          <w:numId w:val="153"/>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business of Supplier ceases to exist or control or ownership is taken over by a third party; </w:t>
      </w:r>
    </w:p>
    <w:p w14:paraId="55C23F59" w14:textId="77777777" w:rsidR="00D51839" w:rsidRDefault="00D51839" w:rsidP="00D51839">
      <w:pPr>
        <w:numPr>
          <w:ilvl w:val="0"/>
          <w:numId w:val="154"/>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as a result of the termination of the European programme(s) which requested EIT UM to enter into this Agreement (as the case may be). </w:t>
      </w:r>
    </w:p>
    <w:p w14:paraId="27FD35C3"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8044BBD" w14:textId="77777777" w:rsidR="00D51839" w:rsidRDefault="00D51839" w:rsidP="00D51839">
      <w:pPr>
        <w:numPr>
          <w:ilvl w:val="0"/>
          <w:numId w:val="15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As from receipt of a termination notice from EIT UM (under any legal ground), Supplier shall take immediate steps to bring the terminated Services to a closure in a prompt and orderly manner and to reduce expenditure to a minimum. </w:t>
      </w:r>
    </w:p>
    <w:p w14:paraId="17DA5998"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EABDE15" w14:textId="77777777" w:rsidR="00D51839" w:rsidRDefault="00D51839" w:rsidP="00D51839">
      <w:pPr>
        <w:numPr>
          <w:ilvl w:val="0"/>
          <w:numId w:val="157"/>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may, after giving fourteen (14) calendar days written notice to EIT UM, terminate the Agreement if EIT UM:  </w:t>
      </w:r>
    </w:p>
    <w:p w14:paraId="12739882"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7AE74A3" w14:textId="77777777" w:rsidR="00D51839" w:rsidRDefault="00D51839" w:rsidP="00D51839">
      <w:pPr>
        <w:numPr>
          <w:ilvl w:val="0"/>
          <w:numId w:val="158"/>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Fails for more than one hundred twenty (120) calendar days to pay Supplier the amounts due after the expiration of the payment term stated in Article</w:t>
      </w:r>
      <w:r w:rsidRPr="00ED36B4">
        <w:rPr>
          <w:rFonts w:eastAsia="Times New Roman" w:cs="Calibri Light"/>
          <w:color w:val="000000"/>
          <w:sz w:val="22"/>
          <w:shd w:val="clear" w:color="auto" w:fill="E1E3E6"/>
          <w:lang w:eastAsia="en-GB"/>
        </w:rPr>
        <w:t xml:space="preserve"> 4:</w:t>
      </w:r>
      <w:r w:rsidRPr="00ED36B4">
        <w:rPr>
          <w:rFonts w:eastAsia="Times New Roman" w:cs="Calibri Light"/>
          <w:color w:val="auto"/>
          <w:sz w:val="22"/>
          <w:lang w:eastAsia="en-GB"/>
        </w:rPr>
        <w:t xml:space="preserve"> or </w:t>
      </w:r>
    </w:p>
    <w:p w14:paraId="7ABD8101"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530B03DD" w14:textId="77777777" w:rsidR="00D51839" w:rsidRDefault="00D51839" w:rsidP="00D51839">
      <w:pPr>
        <w:numPr>
          <w:ilvl w:val="0"/>
          <w:numId w:val="159"/>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Consistently fails to meet its material obligations after repeated reminders; or </w:t>
      </w:r>
    </w:p>
    <w:p w14:paraId="68A022E7"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6267EE27" w14:textId="77777777" w:rsidR="00D51839" w:rsidRDefault="00D51839" w:rsidP="00D51839">
      <w:pPr>
        <w:spacing w:after="0" w:line="240" w:lineRule="auto"/>
        <w:ind w:left="2127" w:hanging="851"/>
        <w:jc w:val="both"/>
        <w:textAlignment w:val="baseline"/>
        <w:rPr>
          <w:rFonts w:eastAsia="Times New Roman" w:cs="Calibri Light"/>
          <w:color w:val="auto"/>
          <w:sz w:val="22"/>
          <w:lang w:eastAsia="en-GB"/>
        </w:rPr>
      </w:pPr>
      <w:r>
        <w:rPr>
          <w:rFonts w:eastAsia="Times New Roman" w:cs="Calibri Light"/>
          <w:color w:val="auto"/>
          <w:sz w:val="22"/>
          <w:lang w:eastAsia="en-GB"/>
        </w:rPr>
        <w:t xml:space="preserve">c. </w:t>
      </w:r>
      <w:r w:rsidRPr="00ED36B4">
        <w:rPr>
          <w:rFonts w:eastAsia="Times New Roman" w:cs="Calibri Light"/>
          <w:color w:val="auto"/>
          <w:sz w:val="22"/>
          <w:lang w:eastAsia="en-GB"/>
        </w:rPr>
        <w:t>Suspends the progress of the Services or any part thereof for more than ninety (90) calendar days for reasons not specified in the Agreement, or not attributable to Supplier’s breach or default. </w:t>
      </w:r>
    </w:p>
    <w:p w14:paraId="48284022"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4B313CC1" w14:textId="77777777" w:rsidR="00D51839" w:rsidRDefault="00D51839" w:rsidP="00D51839">
      <w:pPr>
        <w:numPr>
          <w:ilvl w:val="0"/>
          <w:numId w:val="160"/>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Safeguarding of EU’s financial interest and conflict of interest </w:t>
      </w:r>
    </w:p>
    <w:p w14:paraId="3AF4A13D"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55DA74EE" w14:textId="77777777" w:rsidR="00D51839" w:rsidRDefault="00D51839" w:rsidP="00D51839">
      <w:pPr>
        <w:numPr>
          <w:ilvl w:val="0"/>
          <w:numId w:val="161"/>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accepts without reservation that during the implementation of the Agreement and for four (4) years after the completion of the Agreement, EIT UM has the right to transfer the tender proposal and the Agreement with Supplier to: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internal audit services; (ii) the EIT; (iii) the European Court of Auditors; (iv) the Financial Irregularities Panel or; (v) the European Anti-Fraud Office, for the purposes of safeguarding the EU’s financial interests. </w:t>
      </w:r>
    </w:p>
    <w:p w14:paraId="38C4AB26"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6BE69EBA" w14:textId="77777777" w:rsidR="00D51839" w:rsidRDefault="00D51839" w:rsidP="00D51839">
      <w:pPr>
        <w:numPr>
          <w:ilvl w:val="0"/>
          <w:numId w:val="162"/>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confirms that it shall take all measures to prevent any situation where the impartial and objective implementation of the Agreement is compromised for reasons involving economic interest, political or national affinity, family or emotional ties or any other shared interest (‘conflict of interests’). The Supplier is obliged to inform EIT UM immediately if there is any change in the above circumstances at any stage during the implementation of the tasks under the Agreement. </w:t>
      </w:r>
    </w:p>
    <w:p w14:paraId="0964422E"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664B94E2" w14:textId="77777777" w:rsidR="00D51839" w:rsidRDefault="00D51839" w:rsidP="00D51839">
      <w:pPr>
        <w:numPr>
          <w:ilvl w:val="0"/>
          <w:numId w:val="163"/>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Miscellaneous </w:t>
      </w:r>
    </w:p>
    <w:p w14:paraId="7C9B8873"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75CEA89F" w14:textId="77777777" w:rsidR="00D51839" w:rsidRDefault="00D51839" w:rsidP="00D51839">
      <w:pPr>
        <w:numPr>
          <w:ilvl w:val="0"/>
          <w:numId w:val="164"/>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All notices given under this Agreement shall be given in writing. Any subsequent change of address shall be promptly notified by the Party concerned to the other Party and embodied in an amendment to the preamble of this Agreement. </w:t>
      </w:r>
    </w:p>
    <w:p w14:paraId="1427DDEA"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879211D" w14:textId="77777777" w:rsidR="00D51839" w:rsidRDefault="00D51839" w:rsidP="00D51839">
      <w:pPr>
        <w:numPr>
          <w:ilvl w:val="0"/>
          <w:numId w:val="16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lastRenderedPageBreak/>
        <w:t>In the event that Supplier is prevented from performing any of its obligations under the Agreement for reason of force majeure (being an event unforeseeable and beyond the control of Supplier) and Supplier has provided sufficient proof for the existence of the force majeure, the performance of the obligation concerned shall be suspended for the duration of the force majeure. EIT UM shall be entitled to immediately terminate the Agreement by written notice to Supplier if the context of the non- performance justifies immediate termination, and in any event if the circumstance constituting force majeure endures for more than thirty (30) days and, upon such notice, Supplier shall not be entitled to any form of compensation in relation to the termination. Force majeure on the part of Supplier shall in any event not include shortage of personnel or production materials or resources, strikes, not officially declared epidemic or pandemic, breach of contract by third parties contracted by Supplier, financial problems of Supplier, nor the inability of Supplier to secure the necessary licenses in respect of software to be supplied or the necessary legal or administrative permits or authorizations in relation to the Services to be supplied. </w:t>
      </w:r>
    </w:p>
    <w:p w14:paraId="39F83DD6"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3690E97" w14:textId="77777777" w:rsidR="00D51839" w:rsidRDefault="00D51839" w:rsidP="00D51839">
      <w:pPr>
        <w:numPr>
          <w:ilvl w:val="0"/>
          <w:numId w:val="16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shall not transfer, pledge or assign any of its rights or obligations under the Agreement without the prior written consent of EIT UM. Any such pre-approved, transfer, pledge or assignment shall be null and void and have no effect vis-à-vis such third party. </w:t>
      </w:r>
    </w:p>
    <w:p w14:paraId="70617425"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65B19F9B" w14:textId="77777777" w:rsidR="00D51839" w:rsidRDefault="00D51839" w:rsidP="00D51839">
      <w:pPr>
        <w:numPr>
          <w:ilvl w:val="0"/>
          <w:numId w:val="167"/>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rights and remedies reserved to EIT UM are cumulative and are in addition to any other or future rights and remedies available under the Agreement, at law or in equity. </w:t>
      </w:r>
    </w:p>
    <w:p w14:paraId="6A44FA5D"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345A1B1" w14:textId="77777777" w:rsidR="00D51839" w:rsidRDefault="00D51839" w:rsidP="00D51839">
      <w:pPr>
        <w:numPr>
          <w:ilvl w:val="0"/>
          <w:numId w:val="168"/>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Neither the failure nor the delay of EIT UM to enforce any provision of the Agreement shall constitute a waiver of such provision or of the right of EIT UM to enforce each and every provision of the Agreement. </w:t>
      </w:r>
    </w:p>
    <w:p w14:paraId="5158F052"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C085EB7" w14:textId="77777777" w:rsidR="00D51839" w:rsidRDefault="00D51839" w:rsidP="00D51839">
      <w:pPr>
        <w:numPr>
          <w:ilvl w:val="0"/>
          <w:numId w:val="16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No course or prior dealings between the Parties, no course of performance, and no usage of the trade shall be relevant to determine the meaning of the Agreement and to modify the provisions of this Agreement. </w:t>
      </w:r>
    </w:p>
    <w:p w14:paraId="48268605"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8F04B1B" w14:textId="77777777" w:rsidR="00D51839" w:rsidRDefault="00D51839" w:rsidP="00D51839">
      <w:pPr>
        <w:numPr>
          <w:ilvl w:val="0"/>
          <w:numId w:val="170"/>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No waiver, consent, modification or amendment of the terms of the Agreement shall be binding unless made in a writing specifically referring to the Agreement signed by EIT UM and Supplier.</w:t>
      </w:r>
    </w:p>
    <w:p w14:paraId="057E03C2"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w:t>
      </w:r>
    </w:p>
    <w:p w14:paraId="4E62DEC0" w14:textId="77777777" w:rsidR="00D51839" w:rsidRDefault="00D51839" w:rsidP="00D51839">
      <w:pPr>
        <w:numPr>
          <w:ilvl w:val="0"/>
          <w:numId w:val="171"/>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In the event that any provision(s) of this Agreement shall be held invalid, unlawful or unenforceable by a court of competent jurisdiction or by any future legislative or administrative action, such holding or action shall not negate the validity or enforceability of any other provisions of the Agreement. Any such provision held invalid, unlawful or unenforceable, shall be substituted by a provision of similar import reflecting the original intent of the clause to the extent permissible under applicable law. </w:t>
      </w:r>
    </w:p>
    <w:p w14:paraId="42084B35"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33A19D4" w14:textId="77777777" w:rsidR="00D51839" w:rsidRDefault="00D51839" w:rsidP="00D51839">
      <w:pPr>
        <w:numPr>
          <w:ilvl w:val="0"/>
          <w:numId w:val="172"/>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All terms and conditions of the Agreement which are destined, whether express or implied, to survive the termination or the expiration of the Agreement, including but not limited to Intellectual Property, Confidentiality and Personal Data, shall survive. </w:t>
      </w:r>
    </w:p>
    <w:p w14:paraId="76FDB13B"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D850EC1" w14:textId="77777777" w:rsidR="00D51839" w:rsidRDefault="00D51839" w:rsidP="00D51839">
      <w:pPr>
        <w:numPr>
          <w:ilvl w:val="0"/>
          <w:numId w:val="173"/>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lastRenderedPageBreak/>
        <w:t>The Agreement shall be governed by and construed in accordance with the laws of the country or state in which the EIT UM ordering entity is located, as applicable. </w:t>
      </w:r>
    </w:p>
    <w:p w14:paraId="7493F8B9"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6BB9BFB9" w14:textId="77777777" w:rsidR="00D51839" w:rsidRDefault="00D51839" w:rsidP="00D51839">
      <w:pPr>
        <w:numPr>
          <w:ilvl w:val="0"/>
          <w:numId w:val="174"/>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and EIT UM each consents to the exclusive jurisdiction of the competent courts in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xml:space="preserve">) the city in which the EIT UM ordering entity is located; or (ii), at the option of EIT UM, the jurisdiction of the entity of Supplier to which the order was placed, or (iii), at the option of EIT UM, for arbitration in which case Article </w:t>
      </w:r>
      <w:r w:rsidRPr="00ED36B4">
        <w:rPr>
          <w:rFonts w:eastAsia="Times New Roman" w:cs="Calibri Light"/>
          <w:color w:val="000000"/>
          <w:sz w:val="22"/>
          <w:shd w:val="clear" w:color="auto" w:fill="E1E3E6"/>
          <w:lang w:eastAsia="en-GB"/>
        </w:rPr>
        <w:t>12.12</w:t>
      </w:r>
      <w:r w:rsidRPr="00ED36B4">
        <w:rPr>
          <w:rFonts w:eastAsia="Times New Roman" w:cs="Calibri Light"/>
          <w:color w:val="auto"/>
          <w:sz w:val="22"/>
          <w:lang w:eastAsia="en-GB"/>
        </w:rPr>
        <w:t xml:space="preserve"> applies. Supplier hereby waives all defences of lack of personal jurisdiction and forum non-convenience. </w:t>
      </w:r>
    </w:p>
    <w:p w14:paraId="4FFD1969"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BC4BF11" w14:textId="77777777" w:rsidR="00D51839" w:rsidRDefault="00D51839" w:rsidP="00D51839">
      <w:pPr>
        <w:numPr>
          <w:ilvl w:val="0"/>
          <w:numId w:val="17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If so chosen by EIT UM in accordance with Article </w:t>
      </w:r>
      <w:r w:rsidRPr="00ED36B4">
        <w:rPr>
          <w:rFonts w:eastAsia="Times New Roman" w:cs="Calibri Light"/>
          <w:color w:val="000000"/>
          <w:sz w:val="22"/>
          <w:shd w:val="clear" w:color="auto" w:fill="E1E3E6"/>
          <w:lang w:eastAsia="en-GB"/>
        </w:rPr>
        <w:t>12.11</w:t>
      </w:r>
      <w:r w:rsidRPr="00ED36B4">
        <w:rPr>
          <w:rFonts w:eastAsia="Times New Roman" w:cs="Calibri Light"/>
          <w:color w:val="auto"/>
          <w:sz w:val="22"/>
          <w:lang w:eastAsia="en-GB"/>
        </w:rPr>
        <w:t>, any dispute, controversy or claim arising out of or in connection with this Agreement, or their breach, termination or invalidity shall be finally settled solely under the International Chamber of Commerce Rules of arbitration (ICC), which Supplier and EIT UM declare to be known to them. Supplier and EIT UM agree that: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xml:space="preserve">) the appointing authority shall be the ICC-International Chamber of Commerce of Paris, France; (ii) there shall be three (3) arbitrators; (iii) arbitration shall take place in the jurisdiction of the EIT UM entity mentioned in the recitals or, at the option of EIT UM, the jurisdiction of Supplier’s entity mentioned in the recitals; (iv) the language to be used in the arbitration proceedings shall be English; and (v) the material laws to be applied by the arbitrators shall be the laws as determined under Article </w:t>
      </w:r>
      <w:r w:rsidRPr="00ED36B4">
        <w:rPr>
          <w:rFonts w:eastAsia="Times New Roman" w:cs="Calibri Light"/>
          <w:color w:val="000000"/>
          <w:sz w:val="22"/>
          <w:shd w:val="clear" w:color="auto" w:fill="E1E3E6"/>
          <w:lang w:eastAsia="en-GB"/>
        </w:rPr>
        <w:t>12.10</w:t>
      </w:r>
      <w:r w:rsidRPr="00ED36B4">
        <w:rPr>
          <w:rFonts w:eastAsia="Times New Roman" w:cs="Calibri Light"/>
          <w:color w:val="auto"/>
          <w:sz w:val="22"/>
          <w:lang w:eastAsia="en-GB"/>
        </w:rPr>
        <w:t>. </w:t>
      </w:r>
    </w:p>
    <w:p w14:paraId="05E2B490"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6535B36E" w14:textId="77777777" w:rsidR="00D51839" w:rsidRPr="00ED36B4" w:rsidRDefault="00D51839" w:rsidP="00D51839">
      <w:pPr>
        <w:numPr>
          <w:ilvl w:val="0"/>
          <w:numId w:val="17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United Nations Convention on International Sale of Goods shall not apply to the Agreement. </w:t>
      </w:r>
    </w:p>
    <w:p w14:paraId="583168DD" w14:textId="77777777" w:rsidR="00D51839" w:rsidRPr="00ED36B4" w:rsidRDefault="00D51839" w:rsidP="00D51839">
      <w:pPr>
        <w:spacing w:after="0" w:line="240" w:lineRule="auto"/>
        <w:ind w:left="-150"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7A90C152" w14:textId="77777777" w:rsidR="00D51839" w:rsidRPr="00ED36B4" w:rsidRDefault="00D51839" w:rsidP="00D51839">
      <w:pPr>
        <w:spacing w:after="0" w:line="240" w:lineRule="auto"/>
        <w:ind w:right="-15"/>
        <w:jc w:val="center"/>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xml:space="preserve">Drawn up on </w:t>
      </w:r>
      <w:r w:rsidRPr="00ED36B4">
        <w:rPr>
          <w:rFonts w:eastAsia="Times New Roman" w:cs="Calibri Light"/>
          <w:color w:val="000000"/>
          <w:sz w:val="22"/>
          <w:lang w:val="hu-HU" w:eastAsia="en-GB"/>
        </w:rPr>
        <w:t>[DATE]</w:t>
      </w:r>
      <w:r w:rsidRPr="00ED36B4">
        <w:rPr>
          <w:rFonts w:eastAsia="Times New Roman" w:cs="Calibri Light"/>
          <w:color w:val="000000"/>
          <w:sz w:val="22"/>
          <w:lang w:eastAsia="en-GB"/>
        </w:rPr>
        <w:t> </w:t>
      </w:r>
    </w:p>
    <w:p w14:paraId="1E555B3B" w14:textId="77777777" w:rsidR="00D51839" w:rsidRPr="00ED36B4" w:rsidRDefault="00D51839" w:rsidP="00D51839">
      <w:pPr>
        <w:spacing w:after="0" w:line="240" w:lineRule="auto"/>
        <w:ind w:left="-150"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4B99A466" w14:textId="77777777" w:rsidR="00D51839" w:rsidRPr="00ED36B4" w:rsidRDefault="00D51839" w:rsidP="00D51839">
      <w:pPr>
        <w:spacing w:after="0" w:line="240" w:lineRule="auto"/>
        <w:ind w:left="-150"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6044BF36" w14:textId="77777777" w:rsidR="00D51839" w:rsidRPr="00ED36B4" w:rsidRDefault="00D51839" w:rsidP="00D51839">
      <w:pPr>
        <w:spacing w:after="0" w:line="240" w:lineRule="auto"/>
        <w:ind w:left="-150"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555"/>
        <w:gridCol w:w="4245"/>
      </w:tblGrid>
      <w:tr w:rsidR="00D51839" w:rsidRPr="00ED36B4" w14:paraId="04E1249E" w14:textId="77777777" w:rsidTr="00110955">
        <w:trPr>
          <w:trHeight w:val="300"/>
        </w:trPr>
        <w:tc>
          <w:tcPr>
            <w:tcW w:w="4245" w:type="dxa"/>
            <w:tcBorders>
              <w:top w:val="single" w:sz="6" w:space="0" w:color="auto"/>
              <w:left w:val="nil"/>
              <w:bottom w:val="nil"/>
              <w:right w:val="nil"/>
            </w:tcBorders>
            <w:shd w:val="clear" w:color="auto" w:fill="auto"/>
            <w:hideMark/>
          </w:tcPr>
          <w:p w14:paraId="48685282"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b/>
                <w:bCs/>
                <w:color w:val="auto"/>
                <w:sz w:val="22"/>
                <w:lang w:val="hu-HU" w:eastAsia="en-GB"/>
              </w:rPr>
              <w:t>EIT KIC URBAN MOBILITY, S.L.</w:t>
            </w:r>
            <w:r w:rsidRPr="00ED36B4">
              <w:rPr>
                <w:rFonts w:eastAsia="Times New Roman" w:cs="Calibri Light"/>
                <w:color w:val="auto"/>
                <w:sz w:val="22"/>
                <w:lang w:eastAsia="en-GB"/>
              </w:rPr>
              <w:t> </w:t>
            </w:r>
          </w:p>
        </w:tc>
        <w:tc>
          <w:tcPr>
            <w:tcW w:w="555" w:type="dxa"/>
            <w:tcBorders>
              <w:top w:val="nil"/>
              <w:left w:val="nil"/>
              <w:bottom w:val="nil"/>
              <w:right w:val="nil"/>
            </w:tcBorders>
            <w:shd w:val="clear" w:color="auto" w:fill="auto"/>
            <w:hideMark/>
          </w:tcPr>
          <w:p w14:paraId="65322189" w14:textId="77777777" w:rsidR="00D51839" w:rsidRPr="00ED36B4" w:rsidRDefault="00D51839" w:rsidP="00110955">
            <w:pPr>
              <w:spacing w:after="0" w:line="240" w:lineRule="auto"/>
              <w:jc w:val="both"/>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 </w:t>
            </w:r>
          </w:p>
        </w:tc>
        <w:tc>
          <w:tcPr>
            <w:tcW w:w="4245" w:type="dxa"/>
            <w:tcBorders>
              <w:top w:val="single" w:sz="6" w:space="0" w:color="auto"/>
              <w:left w:val="nil"/>
              <w:bottom w:val="nil"/>
              <w:right w:val="nil"/>
            </w:tcBorders>
            <w:shd w:val="clear" w:color="auto" w:fill="auto"/>
            <w:hideMark/>
          </w:tcPr>
          <w:p w14:paraId="4F3D7C94"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shd w:val="clear" w:color="auto" w:fill="FFFF00"/>
                <w:lang w:val="hu-HU" w:eastAsia="en-GB"/>
              </w:rPr>
              <w:t>[company name]</w:t>
            </w:r>
            <w:r w:rsidRPr="00ED36B4">
              <w:rPr>
                <w:rFonts w:eastAsia="Times New Roman" w:cs="Calibri Light"/>
                <w:color w:val="auto"/>
                <w:sz w:val="22"/>
                <w:lang w:val="hu-HU" w:eastAsia="en-GB"/>
              </w:rPr>
              <w:t> </w:t>
            </w:r>
            <w:r w:rsidRPr="00ED36B4">
              <w:rPr>
                <w:rFonts w:eastAsia="Times New Roman" w:cs="Calibri Light"/>
                <w:color w:val="auto"/>
                <w:sz w:val="22"/>
                <w:lang w:eastAsia="en-GB"/>
              </w:rPr>
              <w:t> </w:t>
            </w:r>
          </w:p>
        </w:tc>
      </w:tr>
      <w:tr w:rsidR="00D51839" w:rsidRPr="00ED36B4" w14:paraId="5477A600" w14:textId="77777777" w:rsidTr="00110955">
        <w:trPr>
          <w:trHeight w:val="300"/>
        </w:trPr>
        <w:tc>
          <w:tcPr>
            <w:tcW w:w="4245" w:type="dxa"/>
            <w:tcBorders>
              <w:top w:val="nil"/>
              <w:left w:val="nil"/>
              <w:bottom w:val="nil"/>
              <w:right w:val="nil"/>
            </w:tcBorders>
            <w:shd w:val="clear" w:color="auto" w:fill="auto"/>
            <w:hideMark/>
          </w:tcPr>
          <w:p w14:paraId="4C46759F"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Cs w:val="20"/>
                <w:lang w:val="hu-HU" w:eastAsia="en-GB"/>
              </w:rPr>
              <w:t>Francisco Ibáñez</w:t>
            </w:r>
            <w:r w:rsidRPr="00ED36B4">
              <w:rPr>
                <w:rFonts w:eastAsia="Times New Roman" w:cs="Calibri Light"/>
                <w:color w:val="auto"/>
                <w:szCs w:val="20"/>
                <w:lang w:eastAsia="en-GB"/>
              </w:rPr>
              <w:t> </w:t>
            </w:r>
          </w:p>
        </w:tc>
        <w:tc>
          <w:tcPr>
            <w:tcW w:w="555" w:type="dxa"/>
            <w:tcBorders>
              <w:top w:val="nil"/>
              <w:left w:val="nil"/>
              <w:bottom w:val="nil"/>
              <w:right w:val="nil"/>
            </w:tcBorders>
            <w:shd w:val="clear" w:color="auto" w:fill="auto"/>
            <w:hideMark/>
          </w:tcPr>
          <w:p w14:paraId="461B45C1" w14:textId="77777777" w:rsidR="00D51839" w:rsidRPr="00ED36B4" w:rsidRDefault="00D51839" w:rsidP="00110955">
            <w:pPr>
              <w:spacing w:after="0" w:line="240" w:lineRule="auto"/>
              <w:jc w:val="both"/>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 </w:t>
            </w:r>
          </w:p>
        </w:tc>
        <w:tc>
          <w:tcPr>
            <w:tcW w:w="4245" w:type="dxa"/>
            <w:tcBorders>
              <w:top w:val="nil"/>
              <w:left w:val="nil"/>
              <w:bottom w:val="nil"/>
              <w:right w:val="nil"/>
            </w:tcBorders>
            <w:shd w:val="clear" w:color="auto" w:fill="auto"/>
            <w:hideMark/>
          </w:tcPr>
          <w:p w14:paraId="1F4FD3A8"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shd w:val="clear" w:color="auto" w:fill="FFFF00"/>
                <w:lang w:val="hu-HU" w:eastAsia="en-GB"/>
              </w:rPr>
              <w:t>[name of representative]</w:t>
            </w:r>
            <w:r w:rsidRPr="00ED36B4">
              <w:rPr>
                <w:rFonts w:eastAsia="Times New Roman" w:cs="Calibri Light"/>
                <w:color w:val="auto"/>
                <w:sz w:val="22"/>
                <w:lang w:val="hu-HU" w:eastAsia="en-GB"/>
              </w:rPr>
              <w:t> </w:t>
            </w:r>
            <w:r w:rsidRPr="00ED36B4">
              <w:rPr>
                <w:rFonts w:eastAsia="Times New Roman" w:cs="Calibri Light"/>
                <w:color w:val="auto"/>
                <w:sz w:val="22"/>
                <w:lang w:eastAsia="en-GB"/>
              </w:rPr>
              <w:t> </w:t>
            </w:r>
          </w:p>
        </w:tc>
      </w:tr>
      <w:tr w:rsidR="00D51839" w:rsidRPr="00ED36B4" w14:paraId="1865A504" w14:textId="77777777" w:rsidTr="00110955">
        <w:trPr>
          <w:trHeight w:val="300"/>
        </w:trPr>
        <w:tc>
          <w:tcPr>
            <w:tcW w:w="4245" w:type="dxa"/>
            <w:tcBorders>
              <w:top w:val="nil"/>
              <w:left w:val="nil"/>
              <w:bottom w:val="nil"/>
              <w:right w:val="nil"/>
            </w:tcBorders>
            <w:shd w:val="clear" w:color="auto" w:fill="auto"/>
            <w:hideMark/>
          </w:tcPr>
          <w:p w14:paraId="0D284344"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val="hu-HU" w:eastAsia="en-GB"/>
              </w:rPr>
              <w:t>CFO</w:t>
            </w:r>
            <w:r w:rsidRPr="00ED36B4">
              <w:rPr>
                <w:rFonts w:eastAsia="Times New Roman" w:cs="Calibri Light"/>
                <w:color w:val="auto"/>
                <w:sz w:val="22"/>
                <w:lang w:eastAsia="en-GB"/>
              </w:rPr>
              <w:t> </w:t>
            </w:r>
          </w:p>
        </w:tc>
        <w:tc>
          <w:tcPr>
            <w:tcW w:w="555" w:type="dxa"/>
            <w:tcBorders>
              <w:top w:val="nil"/>
              <w:left w:val="nil"/>
              <w:bottom w:val="nil"/>
              <w:right w:val="nil"/>
            </w:tcBorders>
            <w:shd w:val="clear" w:color="auto" w:fill="auto"/>
            <w:hideMark/>
          </w:tcPr>
          <w:p w14:paraId="5CA94571" w14:textId="77777777" w:rsidR="00D51839" w:rsidRPr="00ED36B4" w:rsidRDefault="00D51839" w:rsidP="00110955">
            <w:pPr>
              <w:spacing w:after="0" w:line="240" w:lineRule="auto"/>
              <w:jc w:val="both"/>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 </w:t>
            </w:r>
          </w:p>
        </w:tc>
        <w:tc>
          <w:tcPr>
            <w:tcW w:w="4245" w:type="dxa"/>
            <w:tcBorders>
              <w:top w:val="nil"/>
              <w:left w:val="nil"/>
              <w:bottom w:val="nil"/>
              <w:right w:val="nil"/>
            </w:tcBorders>
            <w:shd w:val="clear" w:color="auto" w:fill="auto"/>
            <w:hideMark/>
          </w:tcPr>
          <w:p w14:paraId="64D9F3AA"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shd w:val="clear" w:color="auto" w:fill="FFFF00"/>
                <w:lang w:val="hu-HU" w:eastAsia="en-GB"/>
              </w:rPr>
              <w:t>[position of representative]</w:t>
            </w:r>
            <w:r w:rsidRPr="00ED36B4">
              <w:rPr>
                <w:rFonts w:eastAsia="Times New Roman" w:cs="Calibri Light"/>
                <w:color w:val="auto"/>
                <w:sz w:val="22"/>
                <w:lang w:val="hu-HU" w:eastAsia="en-GB"/>
              </w:rPr>
              <w:t> </w:t>
            </w:r>
            <w:r w:rsidRPr="00ED36B4">
              <w:rPr>
                <w:rFonts w:eastAsia="Times New Roman" w:cs="Calibri Light"/>
                <w:color w:val="auto"/>
                <w:sz w:val="22"/>
                <w:lang w:eastAsia="en-GB"/>
              </w:rPr>
              <w:t> </w:t>
            </w:r>
          </w:p>
        </w:tc>
      </w:tr>
      <w:tr w:rsidR="00D51839" w:rsidRPr="00ED36B4" w14:paraId="7D7004E5" w14:textId="77777777" w:rsidTr="00110955">
        <w:trPr>
          <w:trHeight w:val="300"/>
        </w:trPr>
        <w:tc>
          <w:tcPr>
            <w:tcW w:w="4245" w:type="dxa"/>
            <w:tcBorders>
              <w:top w:val="nil"/>
              <w:left w:val="nil"/>
              <w:bottom w:val="nil"/>
              <w:right w:val="nil"/>
            </w:tcBorders>
            <w:shd w:val="clear" w:color="auto" w:fill="auto"/>
            <w:hideMark/>
          </w:tcPr>
          <w:p w14:paraId="0E783F48"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 </w:t>
            </w:r>
          </w:p>
        </w:tc>
        <w:tc>
          <w:tcPr>
            <w:tcW w:w="555" w:type="dxa"/>
            <w:tcBorders>
              <w:top w:val="nil"/>
              <w:left w:val="nil"/>
              <w:bottom w:val="nil"/>
              <w:right w:val="nil"/>
            </w:tcBorders>
            <w:shd w:val="clear" w:color="auto" w:fill="auto"/>
            <w:hideMark/>
          </w:tcPr>
          <w:p w14:paraId="362062CE" w14:textId="77777777" w:rsidR="00D51839" w:rsidRPr="00ED36B4" w:rsidRDefault="00D51839" w:rsidP="00110955">
            <w:pPr>
              <w:spacing w:after="0" w:line="240" w:lineRule="auto"/>
              <w:jc w:val="both"/>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 </w:t>
            </w:r>
          </w:p>
        </w:tc>
        <w:tc>
          <w:tcPr>
            <w:tcW w:w="4245" w:type="dxa"/>
            <w:tcBorders>
              <w:top w:val="nil"/>
              <w:left w:val="nil"/>
              <w:bottom w:val="nil"/>
              <w:right w:val="nil"/>
            </w:tcBorders>
            <w:shd w:val="clear" w:color="auto" w:fill="auto"/>
            <w:hideMark/>
          </w:tcPr>
          <w:p w14:paraId="137B54C7"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 </w:t>
            </w:r>
          </w:p>
        </w:tc>
      </w:tr>
    </w:tbl>
    <w:p w14:paraId="4D78C4A5" w14:textId="77777777" w:rsidR="00D51839" w:rsidRDefault="00D51839" w:rsidP="00D51839">
      <w:pPr>
        <w:spacing w:after="0" w:line="240" w:lineRule="auto"/>
        <w:textAlignment w:val="baseline"/>
        <w:rPr>
          <w:rFonts w:eastAsia="Times New Roman" w:cs="Calibri Light"/>
          <w:color w:val="214EA2"/>
          <w:sz w:val="22"/>
          <w:lang w:eastAsia="en-GB"/>
        </w:rPr>
      </w:pPr>
      <w:r w:rsidRPr="00ED36B4">
        <w:rPr>
          <w:rFonts w:eastAsia="Times New Roman" w:cs="Calibri Light"/>
          <w:color w:val="214EA2"/>
          <w:sz w:val="22"/>
          <w:lang w:eastAsia="en-GB"/>
        </w:rPr>
        <w:t> </w:t>
      </w:r>
    </w:p>
    <w:p w14:paraId="390321AE" w14:textId="77777777" w:rsidR="00D51839" w:rsidRDefault="00D51839" w:rsidP="00D51839">
      <w:pPr>
        <w:spacing w:after="0" w:line="240" w:lineRule="auto"/>
        <w:textAlignment w:val="baseline"/>
        <w:rPr>
          <w:rFonts w:eastAsia="Times New Roman" w:cs="Calibri Light"/>
          <w:color w:val="214EA2"/>
          <w:sz w:val="22"/>
          <w:lang w:eastAsia="en-GB"/>
        </w:rPr>
      </w:pPr>
    </w:p>
    <w:p w14:paraId="70585038" w14:textId="77777777" w:rsidR="00D51839" w:rsidRDefault="00D51839" w:rsidP="00D51839">
      <w:pPr>
        <w:spacing w:after="0" w:line="240" w:lineRule="auto"/>
        <w:textAlignment w:val="baseline"/>
        <w:rPr>
          <w:rFonts w:eastAsia="Times New Roman" w:cs="Calibri Light"/>
          <w:color w:val="214EA2"/>
          <w:sz w:val="22"/>
          <w:lang w:eastAsia="en-GB"/>
        </w:rPr>
      </w:pPr>
    </w:p>
    <w:p w14:paraId="38062685" w14:textId="77777777" w:rsidR="00D51839" w:rsidRDefault="00D51839" w:rsidP="00D51839">
      <w:pPr>
        <w:spacing w:after="0" w:line="240" w:lineRule="auto"/>
        <w:textAlignment w:val="baseline"/>
        <w:rPr>
          <w:rFonts w:eastAsia="Times New Roman" w:cs="Calibri Light"/>
          <w:color w:val="214EA2"/>
          <w:sz w:val="22"/>
          <w:lang w:eastAsia="en-GB"/>
        </w:rPr>
      </w:pPr>
    </w:p>
    <w:p w14:paraId="3359BC0B" w14:textId="77777777" w:rsidR="00D51839" w:rsidRDefault="00D51839" w:rsidP="00D51839">
      <w:pPr>
        <w:spacing w:after="0" w:line="240" w:lineRule="auto"/>
        <w:textAlignment w:val="baseline"/>
        <w:rPr>
          <w:rFonts w:eastAsia="Times New Roman" w:cs="Calibri Light"/>
          <w:color w:val="214EA2"/>
          <w:sz w:val="22"/>
          <w:lang w:eastAsia="en-GB"/>
        </w:rPr>
      </w:pPr>
    </w:p>
    <w:p w14:paraId="6891E4AF" w14:textId="77777777" w:rsidR="00D51839" w:rsidRDefault="00D51839" w:rsidP="00D51839">
      <w:pPr>
        <w:spacing w:after="0" w:line="240" w:lineRule="auto"/>
        <w:textAlignment w:val="baseline"/>
        <w:rPr>
          <w:rFonts w:eastAsia="Times New Roman" w:cs="Calibri Light"/>
          <w:color w:val="214EA2"/>
          <w:sz w:val="22"/>
          <w:lang w:eastAsia="en-GB"/>
        </w:rPr>
      </w:pPr>
    </w:p>
    <w:p w14:paraId="339E610C" w14:textId="77777777" w:rsidR="00D51839" w:rsidRDefault="00D51839" w:rsidP="00D51839">
      <w:pPr>
        <w:spacing w:after="0" w:line="240" w:lineRule="auto"/>
        <w:textAlignment w:val="baseline"/>
        <w:rPr>
          <w:rFonts w:eastAsia="Times New Roman" w:cs="Calibri Light"/>
          <w:color w:val="214EA2"/>
          <w:sz w:val="22"/>
          <w:lang w:eastAsia="en-GB"/>
        </w:rPr>
      </w:pPr>
    </w:p>
    <w:p w14:paraId="6FC58FEA" w14:textId="77777777" w:rsidR="00D51839" w:rsidRDefault="00D51839" w:rsidP="00D51839">
      <w:pPr>
        <w:spacing w:after="0" w:line="240" w:lineRule="auto"/>
        <w:textAlignment w:val="baseline"/>
        <w:rPr>
          <w:rFonts w:eastAsia="Times New Roman" w:cs="Calibri Light"/>
          <w:color w:val="214EA2"/>
          <w:sz w:val="22"/>
          <w:lang w:eastAsia="en-GB"/>
        </w:rPr>
      </w:pPr>
    </w:p>
    <w:p w14:paraId="6768EF56" w14:textId="77777777" w:rsidR="00D51839" w:rsidRDefault="00D51839" w:rsidP="00D51839">
      <w:pPr>
        <w:spacing w:after="0" w:line="240" w:lineRule="auto"/>
        <w:textAlignment w:val="baseline"/>
        <w:rPr>
          <w:rFonts w:eastAsia="Times New Roman" w:cs="Calibri Light"/>
          <w:color w:val="214EA2"/>
          <w:sz w:val="22"/>
          <w:lang w:eastAsia="en-GB"/>
        </w:rPr>
      </w:pPr>
    </w:p>
    <w:p w14:paraId="3B192E7E" w14:textId="77777777" w:rsidR="002C6403" w:rsidRDefault="002C6403" w:rsidP="00D51839">
      <w:pPr>
        <w:spacing w:after="0" w:line="240" w:lineRule="auto"/>
        <w:textAlignment w:val="baseline"/>
        <w:rPr>
          <w:rFonts w:eastAsia="Times New Roman" w:cs="Calibri Light"/>
          <w:color w:val="214EA2"/>
          <w:sz w:val="22"/>
          <w:lang w:eastAsia="en-GB"/>
        </w:rPr>
      </w:pPr>
    </w:p>
    <w:p w14:paraId="78962352" w14:textId="77777777" w:rsidR="002C6403" w:rsidRDefault="002C6403" w:rsidP="00D51839">
      <w:pPr>
        <w:spacing w:after="0" w:line="240" w:lineRule="auto"/>
        <w:textAlignment w:val="baseline"/>
        <w:rPr>
          <w:rFonts w:eastAsia="Times New Roman" w:cs="Calibri Light"/>
          <w:color w:val="214EA2"/>
          <w:sz w:val="22"/>
          <w:lang w:eastAsia="en-GB"/>
        </w:rPr>
      </w:pPr>
    </w:p>
    <w:p w14:paraId="54925D3B" w14:textId="77777777" w:rsidR="002C6403" w:rsidRDefault="002C6403" w:rsidP="00D51839">
      <w:pPr>
        <w:spacing w:after="0" w:line="240" w:lineRule="auto"/>
        <w:textAlignment w:val="baseline"/>
        <w:rPr>
          <w:rFonts w:eastAsia="Times New Roman" w:cs="Calibri Light"/>
          <w:color w:val="214EA2"/>
          <w:sz w:val="22"/>
          <w:lang w:eastAsia="en-GB"/>
        </w:rPr>
      </w:pPr>
    </w:p>
    <w:p w14:paraId="069595C8" w14:textId="77777777" w:rsidR="002C6403" w:rsidRDefault="002C6403" w:rsidP="00D51839">
      <w:pPr>
        <w:spacing w:after="0" w:line="240" w:lineRule="auto"/>
        <w:textAlignment w:val="baseline"/>
        <w:rPr>
          <w:rFonts w:eastAsia="Times New Roman" w:cs="Calibri Light"/>
          <w:color w:val="214EA2"/>
          <w:sz w:val="22"/>
          <w:lang w:eastAsia="en-GB"/>
        </w:rPr>
      </w:pPr>
    </w:p>
    <w:p w14:paraId="4387422F" w14:textId="77777777" w:rsidR="00D51839" w:rsidRDefault="00D51839" w:rsidP="00D51839">
      <w:pPr>
        <w:spacing w:after="0" w:line="240" w:lineRule="auto"/>
        <w:textAlignment w:val="baseline"/>
        <w:rPr>
          <w:rFonts w:eastAsia="Times New Roman" w:cs="Calibri Light"/>
          <w:color w:val="214EA2"/>
          <w:sz w:val="22"/>
          <w:lang w:eastAsia="en-GB"/>
        </w:rPr>
      </w:pPr>
    </w:p>
    <w:p w14:paraId="05175E35" w14:textId="77777777" w:rsidR="00D51839" w:rsidRPr="00ED36B4" w:rsidRDefault="00D51839" w:rsidP="00D51839">
      <w:pPr>
        <w:spacing w:after="0" w:line="240" w:lineRule="auto"/>
        <w:textAlignment w:val="baseline"/>
        <w:rPr>
          <w:rFonts w:ascii="Segoe UI" w:eastAsia="Times New Roman" w:hAnsi="Segoe UI" w:cs="Segoe UI"/>
          <w:color w:val="auto"/>
          <w:sz w:val="18"/>
          <w:szCs w:val="18"/>
          <w:lang w:eastAsia="en-GB"/>
        </w:rPr>
      </w:pPr>
    </w:p>
    <w:p w14:paraId="2D1CC6BC" w14:textId="37B57C52" w:rsidR="00D51839" w:rsidRDefault="00D51839" w:rsidP="00D51839">
      <w:pPr>
        <w:spacing w:after="0" w:line="240" w:lineRule="auto"/>
        <w:jc w:val="center"/>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lastRenderedPageBreak/>
        <w:t>Annex 1 to the Services Agreement </w:t>
      </w:r>
      <w:r w:rsidR="002C6403">
        <w:rPr>
          <w:rFonts w:eastAsia="Times New Roman" w:cs="Calibri Light"/>
          <w:b/>
          <w:bCs/>
          <w:color w:val="214EA2"/>
          <w:sz w:val="22"/>
          <w:lang w:eastAsia="en-GB"/>
        </w:rPr>
        <w:t>for 2025</w:t>
      </w:r>
    </w:p>
    <w:p w14:paraId="6D29BDA8" w14:textId="77777777" w:rsidR="002C6403" w:rsidRPr="00ED36B4" w:rsidRDefault="002C6403" w:rsidP="00D51839">
      <w:pPr>
        <w:spacing w:after="0" w:line="240" w:lineRule="auto"/>
        <w:jc w:val="center"/>
        <w:textAlignment w:val="baseline"/>
        <w:rPr>
          <w:rFonts w:ascii="Segoe UI" w:eastAsia="Times New Roman" w:hAnsi="Segoe UI" w:cs="Segoe UI"/>
          <w:b/>
          <w:bCs/>
          <w:color w:val="214EA2"/>
          <w:sz w:val="18"/>
          <w:szCs w:val="18"/>
          <w:lang w:eastAsia="en-GB"/>
        </w:rPr>
      </w:pPr>
    </w:p>
    <w:p w14:paraId="4400D724" w14:textId="77777777" w:rsidR="00D51839" w:rsidRDefault="00D51839" w:rsidP="00D51839">
      <w:pPr>
        <w:spacing w:after="0" w:line="240" w:lineRule="auto"/>
        <w:ind w:right="-15"/>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In addition to the general terms and conditions specified in the body of the Service Agreement, the Parties hereby agree on the following specific conditions and details: </w:t>
      </w:r>
    </w:p>
    <w:p w14:paraId="6F4A466F"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p>
    <w:p w14:paraId="0F7CFFAC" w14:textId="77777777" w:rsidR="00D51839" w:rsidRPr="00ED36B4" w:rsidRDefault="00D51839" w:rsidP="00D51839">
      <w:pPr>
        <w:numPr>
          <w:ilvl w:val="0"/>
          <w:numId w:val="177"/>
        </w:numPr>
        <w:spacing w:after="0" w:line="240" w:lineRule="auto"/>
        <w:ind w:left="78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Description and timing of the Services subject to the procurement procedure (as per Article </w:t>
      </w:r>
      <w:r w:rsidRPr="00ED36B4">
        <w:rPr>
          <w:rFonts w:eastAsia="Times New Roman" w:cs="Calibri Light"/>
          <w:color w:val="000000"/>
          <w:sz w:val="22"/>
          <w:shd w:val="clear" w:color="auto" w:fill="E1E3E6"/>
          <w:lang w:eastAsia="en-GB"/>
        </w:rPr>
        <w:t>3.1</w:t>
      </w:r>
      <w:r w:rsidRPr="00ED36B4">
        <w:rPr>
          <w:rFonts w:eastAsia="Times New Roman" w:cs="Calibri Light"/>
          <w:color w:val="auto"/>
          <w:sz w:val="22"/>
          <w:lang w:eastAsia="en-GB"/>
        </w:rPr>
        <w:t xml:space="preserve"> of the Agreement) and detailed description of the types of Services and Deliverables (as per Article </w:t>
      </w:r>
      <w:r w:rsidRPr="00ED36B4">
        <w:rPr>
          <w:rFonts w:eastAsia="Times New Roman" w:cs="Calibri Light"/>
          <w:color w:val="000000"/>
          <w:sz w:val="22"/>
          <w:shd w:val="clear" w:color="auto" w:fill="E1E3E6"/>
          <w:lang w:eastAsia="en-GB"/>
        </w:rPr>
        <w:t>6.2</w:t>
      </w:r>
      <w:r w:rsidRPr="00ED36B4">
        <w:rPr>
          <w:rFonts w:eastAsia="Times New Roman" w:cs="Calibri Light"/>
          <w:color w:val="auto"/>
          <w:sz w:val="22"/>
          <w:lang w:eastAsia="en-GB"/>
        </w:rPr>
        <w:t xml:space="preserve"> of the Agreement) covered by the Agreement: </w:t>
      </w:r>
    </w:p>
    <w:p w14:paraId="496919F6" w14:textId="77777777" w:rsidR="00D51839" w:rsidRPr="00ED36B4" w:rsidRDefault="00D51839" w:rsidP="00D51839">
      <w:pPr>
        <w:numPr>
          <w:ilvl w:val="0"/>
          <w:numId w:val="178"/>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Task 1 </w:t>
      </w:r>
    </w:p>
    <w:p w14:paraId="6015E036" w14:textId="77777777" w:rsidR="00D51839" w:rsidRDefault="00D51839" w:rsidP="00D51839">
      <w:pPr>
        <w:numPr>
          <w:ilvl w:val="0"/>
          <w:numId w:val="179"/>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Task 2 </w:t>
      </w:r>
    </w:p>
    <w:p w14:paraId="42475C65" w14:textId="77777777" w:rsidR="00D51839" w:rsidRPr="00ED36B4" w:rsidRDefault="00D51839" w:rsidP="00D51839">
      <w:pPr>
        <w:spacing w:after="0" w:line="240" w:lineRule="auto"/>
        <w:ind w:left="1080"/>
        <w:jc w:val="both"/>
        <w:textAlignment w:val="baseline"/>
        <w:rPr>
          <w:rFonts w:eastAsia="Times New Roman" w:cs="Calibri Light"/>
          <w:color w:val="auto"/>
          <w:sz w:val="22"/>
          <w:lang w:eastAsia="en-GB"/>
        </w:rPr>
      </w:pPr>
    </w:p>
    <w:p w14:paraId="46B0744B" w14:textId="77777777" w:rsidR="00D51839" w:rsidRPr="00ED36B4" w:rsidRDefault="00D51839" w:rsidP="00D51839">
      <w:pPr>
        <w:numPr>
          <w:ilvl w:val="0"/>
          <w:numId w:val="180"/>
        </w:numPr>
        <w:spacing w:after="0" w:line="240" w:lineRule="auto"/>
        <w:ind w:left="78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Price of the Services (as per </w:t>
      </w:r>
      <w:r w:rsidRPr="00ED36B4">
        <w:rPr>
          <w:rFonts w:eastAsia="Times New Roman" w:cs="Calibri Light"/>
          <w:color w:val="000000"/>
          <w:sz w:val="22"/>
          <w:shd w:val="clear" w:color="auto" w:fill="E1E3E6"/>
          <w:lang w:eastAsia="en-GB"/>
        </w:rPr>
        <w:t>Article 4:</w:t>
      </w:r>
      <w:r w:rsidRPr="00ED36B4">
        <w:rPr>
          <w:rFonts w:eastAsia="Times New Roman" w:cs="Calibri Light"/>
          <w:color w:val="auto"/>
          <w:sz w:val="22"/>
          <w:lang w:eastAsia="en-GB"/>
        </w:rPr>
        <w:t xml:space="preserve"> of the Agreement):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5085"/>
      </w:tblGrid>
      <w:tr w:rsidR="00D51839" w:rsidRPr="00ED36B4" w14:paraId="172EB63E" w14:textId="77777777" w:rsidTr="00110955">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9CC2E5"/>
            <w:vAlign w:val="center"/>
            <w:hideMark/>
          </w:tcPr>
          <w:p w14:paraId="7A6A46C5" w14:textId="77777777" w:rsidR="00D51839" w:rsidRPr="00ED36B4" w:rsidRDefault="00D51839" w:rsidP="00110955">
            <w:pPr>
              <w:spacing w:after="0" w:line="240" w:lineRule="auto"/>
              <w:ind w:right="-15"/>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b/>
                <w:bCs/>
                <w:color w:val="auto"/>
                <w:sz w:val="22"/>
                <w:lang w:val="hu-HU" w:eastAsia="en-GB"/>
              </w:rPr>
              <w:t>Services</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c>
          <w:tcPr>
            <w:tcW w:w="5085" w:type="dxa"/>
            <w:tcBorders>
              <w:top w:val="single" w:sz="6" w:space="0" w:color="auto"/>
              <w:left w:val="single" w:sz="6" w:space="0" w:color="auto"/>
              <w:bottom w:val="single" w:sz="6" w:space="0" w:color="auto"/>
              <w:right w:val="single" w:sz="6" w:space="0" w:color="auto"/>
            </w:tcBorders>
            <w:shd w:val="clear" w:color="auto" w:fill="9CC2E5"/>
            <w:vAlign w:val="center"/>
            <w:hideMark/>
          </w:tcPr>
          <w:p w14:paraId="5A29F87D" w14:textId="77777777" w:rsidR="00D51839" w:rsidRPr="00ED36B4" w:rsidRDefault="00D51839" w:rsidP="00110955">
            <w:pPr>
              <w:spacing w:after="0" w:line="240" w:lineRule="auto"/>
              <w:ind w:right="-15"/>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b/>
                <w:bCs/>
                <w:color w:val="auto"/>
                <w:sz w:val="22"/>
                <w:lang w:val="hu-HU" w:eastAsia="en-GB"/>
              </w:rPr>
              <w:t>Price</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r>
      <w:tr w:rsidR="00D51839" w:rsidRPr="00ED36B4" w14:paraId="18F63642" w14:textId="77777777" w:rsidTr="00110955">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6123266" w14:textId="77777777" w:rsidR="00D51839" w:rsidRPr="00ED36B4" w:rsidRDefault="00D51839" w:rsidP="00110955">
            <w:pPr>
              <w:spacing w:after="0" w:line="240" w:lineRule="auto"/>
              <w:ind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val="hu-HU" w:eastAsia="en-GB"/>
              </w:rPr>
              <w:t>[Subject of the services]</w:t>
            </w:r>
            <w:r w:rsidRPr="00ED36B4">
              <w:rPr>
                <w:rFonts w:eastAsia="Times New Roman" w:cs="Calibri Light"/>
                <w:color w:val="auto"/>
                <w:sz w:val="22"/>
                <w:lang w:eastAsia="en-GB"/>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247701" w14:textId="77777777" w:rsidR="00D51839" w:rsidRPr="00ED36B4" w:rsidRDefault="00D51839" w:rsidP="00110955">
            <w:pPr>
              <w:spacing w:after="0" w:line="240" w:lineRule="auto"/>
              <w:ind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val="hu-HU" w:eastAsia="en-GB"/>
              </w:rPr>
              <w:t>[(Unit) price of the services]</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tc>
      </w:tr>
    </w:tbl>
    <w:p w14:paraId="388C5419"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ascii="Arial" w:eastAsia="Times New Roman" w:hAnsi="Arial" w:cs="Arial"/>
          <w:color w:val="auto"/>
          <w:sz w:val="22"/>
          <w:lang w:eastAsia="en-GB"/>
        </w:rPr>
        <w:t> </w:t>
      </w:r>
    </w:p>
    <w:p w14:paraId="7A831FEA" w14:textId="77777777" w:rsidR="00D51839" w:rsidRPr="00ED36B4" w:rsidRDefault="00D51839" w:rsidP="00D51839">
      <w:pPr>
        <w:numPr>
          <w:ilvl w:val="0"/>
          <w:numId w:val="181"/>
        </w:numPr>
        <w:spacing w:after="0" w:line="240" w:lineRule="auto"/>
        <w:ind w:left="78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Charging the compensation to EIT UM (as per </w:t>
      </w:r>
      <w:r w:rsidRPr="00ED36B4">
        <w:rPr>
          <w:rFonts w:eastAsia="Times New Roman" w:cs="Calibri Light"/>
          <w:color w:val="000000"/>
          <w:sz w:val="22"/>
          <w:shd w:val="clear" w:color="auto" w:fill="E1E3E6"/>
          <w:lang w:eastAsia="en-GB"/>
        </w:rPr>
        <w:t>Article 4</w:t>
      </w:r>
      <w:r w:rsidRPr="00ED36B4">
        <w:rPr>
          <w:rFonts w:eastAsia="Times New Roman" w:cs="Calibri Light"/>
          <w:color w:val="auto"/>
          <w:sz w:val="22"/>
          <w:lang w:eastAsia="en-GB"/>
        </w:rPr>
        <w:t xml:space="preserve"> of the Agreement)</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p w14:paraId="136C563C" w14:textId="77777777" w:rsidR="00D51839" w:rsidRPr="00ED36B4" w:rsidRDefault="00D51839" w:rsidP="00D51839">
      <w:pPr>
        <w:spacing w:after="0" w:line="240" w:lineRule="auto"/>
        <w:ind w:left="34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Supplier may charge the amounts of the Agreement at the end of the following period:</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p w14:paraId="3E3509F3" w14:textId="77777777" w:rsidR="00D51839" w:rsidRPr="00ED36B4" w:rsidRDefault="00D51839" w:rsidP="00D51839">
      <w:pPr>
        <w:spacing w:after="0" w:line="240" w:lineRule="auto"/>
        <w:ind w:left="34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5"/>
        <w:gridCol w:w="4950"/>
      </w:tblGrid>
      <w:tr w:rsidR="00D51839" w:rsidRPr="00ED36B4" w14:paraId="7CF62026" w14:textId="77777777" w:rsidTr="0011095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13CB7411"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Payment 1 – [description]</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3059E8"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[date]</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r>
      <w:tr w:rsidR="00D51839" w:rsidRPr="00ED36B4" w14:paraId="01A35CF1" w14:textId="77777777" w:rsidTr="0011095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93C5036"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Payment 2 - [description]</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DEB93"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[date]</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r>
      <w:tr w:rsidR="00D51839" w:rsidRPr="00ED36B4" w14:paraId="32D3F603" w14:textId="77777777" w:rsidTr="0011095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73314AA9"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Payment 3 - [description]</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0A2FAE"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[date]</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r>
    </w:tbl>
    <w:p w14:paraId="089195BA" w14:textId="77777777" w:rsidR="00D51839" w:rsidRDefault="00D51839" w:rsidP="00D51839">
      <w:pPr>
        <w:spacing w:after="0" w:line="240" w:lineRule="auto"/>
        <w:ind w:left="780"/>
        <w:jc w:val="both"/>
        <w:textAlignment w:val="baseline"/>
        <w:rPr>
          <w:rFonts w:eastAsia="Times New Roman" w:cs="Calibri Light"/>
          <w:color w:val="auto"/>
          <w:sz w:val="22"/>
          <w:lang w:eastAsia="en-GB"/>
        </w:rPr>
      </w:pPr>
    </w:p>
    <w:p w14:paraId="5429C2BB" w14:textId="77777777" w:rsidR="00D51839" w:rsidRPr="00ED36B4" w:rsidRDefault="00D51839" w:rsidP="00D51839">
      <w:pPr>
        <w:numPr>
          <w:ilvl w:val="0"/>
          <w:numId w:val="182"/>
        </w:numPr>
        <w:spacing w:after="0" w:line="240" w:lineRule="auto"/>
        <w:ind w:left="78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Payment term applying to Supplier invoices (as per </w:t>
      </w:r>
      <w:r w:rsidRPr="00ED36B4">
        <w:rPr>
          <w:rFonts w:eastAsia="Times New Roman" w:cs="Calibri Light"/>
          <w:color w:val="000000"/>
          <w:sz w:val="22"/>
          <w:shd w:val="clear" w:color="auto" w:fill="E1E3E6"/>
          <w:lang w:eastAsia="en-GB"/>
        </w:rPr>
        <w:t>Article 4</w:t>
      </w:r>
      <w:r w:rsidRPr="00ED36B4">
        <w:rPr>
          <w:rFonts w:eastAsia="Times New Roman" w:cs="Calibri Light"/>
          <w:color w:val="auto"/>
          <w:sz w:val="22"/>
          <w:lang w:eastAsia="en-GB"/>
        </w:rPr>
        <w:t xml:space="preserve"> of the Agreement):</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65"/>
      </w:tblGrid>
      <w:tr w:rsidR="00D51839" w:rsidRPr="00ED36B4" w14:paraId="0BF88795" w14:textId="77777777" w:rsidTr="0011095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DEEAF6"/>
            <w:hideMark/>
          </w:tcPr>
          <w:p w14:paraId="612068AF" w14:textId="77777777" w:rsidR="00D51839" w:rsidRPr="00ED36B4" w:rsidRDefault="00D51839" w:rsidP="00110955">
            <w:pPr>
              <w:spacing w:after="0" w:line="240" w:lineRule="auto"/>
              <w:ind w:left="90" w:right="-15"/>
              <w:jc w:val="both"/>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Payment term (expressed in calendar days)</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335CD8DE" w14:textId="77777777" w:rsidR="00D51839" w:rsidRPr="00ED36B4" w:rsidRDefault="00D51839" w:rsidP="00110955">
            <w:pPr>
              <w:spacing w:after="0" w:line="240" w:lineRule="auto"/>
              <w:ind w:left="90" w:right="-15"/>
              <w:jc w:val="both"/>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30 days</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r>
    </w:tbl>
    <w:p w14:paraId="587604D1" w14:textId="77777777" w:rsidR="00D51839" w:rsidRDefault="00D51839" w:rsidP="00D51839">
      <w:pPr>
        <w:spacing w:after="0" w:line="240" w:lineRule="auto"/>
        <w:ind w:left="780"/>
        <w:jc w:val="both"/>
        <w:textAlignment w:val="baseline"/>
        <w:rPr>
          <w:rFonts w:eastAsia="Times New Roman" w:cs="Calibri Light"/>
          <w:color w:val="auto"/>
          <w:sz w:val="22"/>
          <w:lang w:eastAsia="en-GB"/>
        </w:rPr>
      </w:pPr>
    </w:p>
    <w:p w14:paraId="42A3ADC7" w14:textId="77777777" w:rsidR="00D51839" w:rsidRPr="00ED36B4" w:rsidRDefault="00D51839" w:rsidP="00D51839">
      <w:pPr>
        <w:numPr>
          <w:ilvl w:val="0"/>
          <w:numId w:val="183"/>
        </w:numPr>
        <w:spacing w:after="0" w:line="240" w:lineRule="auto"/>
        <w:ind w:left="78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Term of the Agreement (as per </w:t>
      </w:r>
      <w:r w:rsidRPr="00ED36B4">
        <w:rPr>
          <w:rFonts w:eastAsia="Times New Roman" w:cs="Calibri Light"/>
          <w:color w:val="000000"/>
          <w:sz w:val="22"/>
          <w:shd w:val="clear" w:color="auto" w:fill="E1E3E6"/>
          <w:lang w:eastAsia="en-GB"/>
        </w:rPr>
        <w:t>Article 10</w:t>
      </w:r>
      <w:r w:rsidRPr="00ED36B4">
        <w:rPr>
          <w:rFonts w:eastAsia="Times New Roman" w:cs="Calibri Light"/>
          <w:color w:val="auto"/>
          <w:sz w:val="22"/>
          <w:lang w:eastAsia="en-GB"/>
        </w:rPr>
        <w:t xml:space="preserve"> of the Agreement):</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p w14:paraId="1C4E7BB2" w14:textId="77777777" w:rsidR="00D51839" w:rsidRPr="00ED36B4" w:rsidRDefault="00D51839" w:rsidP="00D51839">
      <w:pPr>
        <w:spacing w:after="0" w:line="240" w:lineRule="auto"/>
        <w:ind w:left="34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xml:space="preserve">In application of Article </w:t>
      </w:r>
      <w:r w:rsidRPr="00ED36B4">
        <w:rPr>
          <w:rFonts w:eastAsia="Times New Roman" w:cs="Calibri Light"/>
          <w:color w:val="000000"/>
          <w:sz w:val="22"/>
          <w:shd w:val="clear" w:color="auto" w:fill="E1E3E6"/>
          <w:lang w:eastAsia="en-GB"/>
        </w:rPr>
        <w:t>10.1</w:t>
      </w:r>
      <w:r w:rsidRPr="00ED36B4">
        <w:rPr>
          <w:rFonts w:eastAsia="Times New Roman" w:cs="Calibri Light"/>
          <w:color w:val="auto"/>
          <w:sz w:val="22"/>
          <w:lang w:eastAsia="en-GB"/>
        </w:rPr>
        <w:t xml:space="preserve"> of the Agreement, the Effective Date on which the Agreement starts and the Termination Tate on which the Agreement shall terminate automatically are set forth below:</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p w14:paraId="09EC0B52" w14:textId="77777777" w:rsidR="00D51839" w:rsidRPr="00ED36B4" w:rsidRDefault="00D51839" w:rsidP="00D51839">
      <w:pPr>
        <w:spacing w:after="0" w:line="240" w:lineRule="auto"/>
        <w:ind w:left="34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5"/>
        <w:gridCol w:w="4950"/>
      </w:tblGrid>
      <w:tr w:rsidR="00D51839" w:rsidRPr="00ED36B4" w14:paraId="7615ACF6" w14:textId="77777777" w:rsidTr="0011095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3F7B1059"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Effective Date (start of the agreement)</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6F2EEBB7"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Termination Date (i.e. date on which the last service is expected to be delivered and paid)</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tc>
      </w:tr>
      <w:tr w:rsidR="00D51839" w:rsidRPr="00ED36B4" w14:paraId="566CCE60" w14:textId="77777777" w:rsidTr="0011095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993F58"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[Starting date of the contract]</w:t>
            </w:r>
            <w:r w:rsidRPr="00ED36B4">
              <w:rPr>
                <w:rFonts w:eastAsia="Times New Roman" w:cs="Calibri Light"/>
                <w:color w:val="auto"/>
                <w:sz w:val="22"/>
                <w:lang w:val="en-US" w:eastAsia="en-GB"/>
              </w:rPr>
              <w:t> </w:t>
            </w:r>
            <w:r w:rsidRPr="00ED36B4">
              <w:rPr>
                <w:rFonts w:eastAsia="Times New Roman" w:cs="Calibri Light"/>
                <w:color w:val="0078D4"/>
                <w:sz w:val="22"/>
                <w:lang w:eastAsia="en-GB"/>
              </w:rPr>
              <w:t> </w:t>
            </w:r>
          </w:p>
          <w:p w14:paraId="6A1FF50C"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ascii="Times New Roman" w:eastAsia="Times New Roman" w:hAnsi="Times New Roman" w:cs="Times New Roman"/>
                <w:color w:val="auto"/>
                <w:sz w:val="22"/>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08C4A5" w14:textId="67CCBE14"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[End date of the contract]</w:t>
            </w:r>
          </w:p>
        </w:tc>
      </w:tr>
    </w:tbl>
    <w:p w14:paraId="273609F3" w14:textId="77777777" w:rsidR="00D51839" w:rsidRPr="00ED36B4" w:rsidRDefault="00D51839" w:rsidP="00D51839">
      <w:pPr>
        <w:spacing w:after="0" w:line="240" w:lineRule="auto"/>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p w14:paraId="2E74F45A" w14:textId="77777777" w:rsidR="00D51839" w:rsidRPr="00ED36B4" w:rsidRDefault="00D51839" w:rsidP="00D51839">
      <w:pPr>
        <w:spacing w:after="0" w:line="240" w:lineRule="auto"/>
        <w:ind w:left="34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4"/>
          <w:szCs w:val="24"/>
          <w:lang w:eastAsia="en-GB"/>
        </w:rPr>
        <w:t> </w:t>
      </w:r>
    </w:p>
    <w:p w14:paraId="57CEE973" w14:textId="77777777" w:rsidR="00D51839" w:rsidRDefault="00D51839" w:rsidP="00D51839">
      <w:pPr>
        <w:spacing w:after="0" w:line="240" w:lineRule="auto"/>
        <w:ind w:left="345"/>
        <w:jc w:val="both"/>
        <w:textAlignment w:val="baseline"/>
        <w:rPr>
          <w:rFonts w:eastAsia="Times New Roman" w:cs="Calibri Light"/>
          <w:color w:val="auto"/>
          <w:sz w:val="24"/>
          <w:szCs w:val="24"/>
          <w:lang w:eastAsia="en-GB"/>
        </w:rPr>
      </w:pPr>
      <w:r w:rsidRPr="00ED36B4">
        <w:rPr>
          <w:rFonts w:eastAsia="Times New Roman" w:cs="Calibri Light"/>
          <w:color w:val="auto"/>
          <w:sz w:val="24"/>
          <w:szCs w:val="24"/>
          <w:lang w:eastAsia="en-GB"/>
        </w:rPr>
        <w:t> </w:t>
      </w:r>
    </w:p>
    <w:p w14:paraId="75A44036" w14:textId="77777777" w:rsidR="00C062F6" w:rsidRDefault="00C062F6" w:rsidP="00D51839">
      <w:pPr>
        <w:spacing w:after="0" w:line="240" w:lineRule="auto"/>
        <w:ind w:left="345"/>
        <w:jc w:val="both"/>
        <w:textAlignment w:val="baseline"/>
        <w:rPr>
          <w:rFonts w:eastAsia="Times New Roman" w:cs="Calibri Light"/>
          <w:color w:val="auto"/>
          <w:sz w:val="24"/>
          <w:szCs w:val="24"/>
          <w:lang w:eastAsia="en-GB"/>
        </w:rPr>
      </w:pPr>
    </w:p>
    <w:p w14:paraId="756A39F7" w14:textId="77777777" w:rsidR="00C062F6" w:rsidRDefault="00C062F6" w:rsidP="00D51839">
      <w:pPr>
        <w:spacing w:after="0" w:line="240" w:lineRule="auto"/>
        <w:ind w:left="345"/>
        <w:jc w:val="both"/>
        <w:textAlignment w:val="baseline"/>
        <w:rPr>
          <w:rFonts w:eastAsia="Times New Roman" w:cs="Calibri Light"/>
          <w:color w:val="auto"/>
          <w:sz w:val="24"/>
          <w:szCs w:val="24"/>
          <w:lang w:eastAsia="en-GB"/>
        </w:rPr>
      </w:pPr>
    </w:p>
    <w:p w14:paraId="0B77A417" w14:textId="77777777" w:rsidR="00C062F6" w:rsidRDefault="00C062F6" w:rsidP="00D51839">
      <w:pPr>
        <w:spacing w:after="0" w:line="240" w:lineRule="auto"/>
        <w:ind w:left="345"/>
        <w:jc w:val="both"/>
        <w:textAlignment w:val="baseline"/>
        <w:rPr>
          <w:rFonts w:eastAsia="Times New Roman" w:cs="Calibri Light"/>
          <w:color w:val="auto"/>
          <w:sz w:val="24"/>
          <w:szCs w:val="24"/>
          <w:lang w:eastAsia="en-GB"/>
        </w:rPr>
      </w:pPr>
    </w:p>
    <w:p w14:paraId="07A88540" w14:textId="77777777" w:rsidR="00C062F6" w:rsidRDefault="00C062F6" w:rsidP="00D51839">
      <w:pPr>
        <w:spacing w:after="0" w:line="240" w:lineRule="auto"/>
        <w:ind w:left="345"/>
        <w:jc w:val="both"/>
        <w:textAlignment w:val="baseline"/>
        <w:rPr>
          <w:rFonts w:eastAsia="Times New Roman" w:cs="Calibri Light"/>
          <w:color w:val="auto"/>
          <w:sz w:val="24"/>
          <w:szCs w:val="24"/>
          <w:lang w:eastAsia="en-GB"/>
        </w:rPr>
      </w:pPr>
    </w:p>
    <w:p w14:paraId="6BC748D5" w14:textId="77777777" w:rsidR="00C062F6" w:rsidRDefault="00C062F6" w:rsidP="00D51839">
      <w:pPr>
        <w:spacing w:after="0" w:line="240" w:lineRule="auto"/>
        <w:ind w:left="345"/>
        <w:jc w:val="both"/>
        <w:textAlignment w:val="baseline"/>
        <w:rPr>
          <w:rFonts w:eastAsia="Times New Roman" w:cs="Calibri Light"/>
          <w:color w:val="auto"/>
          <w:sz w:val="24"/>
          <w:szCs w:val="24"/>
          <w:lang w:eastAsia="en-GB"/>
        </w:rPr>
      </w:pPr>
    </w:p>
    <w:p w14:paraId="1A584B16" w14:textId="77777777" w:rsidR="00C062F6" w:rsidRDefault="00C062F6" w:rsidP="00D51839">
      <w:pPr>
        <w:spacing w:after="0" w:line="240" w:lineRule="auto"/>
        <w:ind w:left="345"/>
        <w:jc w:val="both"/>
        <w:textAlignment w:val="baseline"/>
        <w:rPr>
          <w:rFonts w:eastAsia="Times New Roman" w:cs="Calibri Light"/>
          <w:color w:val="auto"/>
          <w:sz w:val="24"/>
          <w:szCs w:val="24"/>
          <w:lang w:eastAsia="en-GB"/>
        </w:rPr>
      </w:pPr>
    </w:p>
    <w:p w14:paraId="25AADA0D" w14:textId="77777777" w:rsidR="00C062F6" w:rsidRDefault="00C062F6" w:rsidP="00D51839">
      <w:pPr>
        <w:spacing w:after="0" w:line="240" w:lineRule="auto"/>
        <w:ind w:left="345"/>
        <w:jc w:val="both"/>
        <w:textAlignment w:val="baseline"/>
        <w:rPr>
          <w:rFonts w:eastAsia="Times New Roman" w:cs="Calibri Light"/>
          <w:color w:val="auto"/>
          <w:sz w:val="24"/>
          <w:szCs w:val="24"/>
          <w:lang w:eastAsia="en-GB"/>
        </w:rPr>
      </w:pPr>
    </w:p>
    <w:p w14:paraId="1D7C276B" w14:textId="1A6738D5" w:rsidR="00D51839" w:rsidRPr="00ED36B4" w:rsidRDefault="00D51839" w:rsidP="002C6403">
      <w:pPr>
        <w:spacing w:after="0" w:line="240" w:lineRule="auto"/>
        <w:jc w:val="both"/>
        <w:textAlignment w:val="baseline"/>
        <w:rPr>
          <w:rFonts w:ascii="Segoe UI" w:eastAsia="Times New Roman" w:hAnsi="Segoe UI" w:cs="Segoe UI"/>
          <w:color w:val="auto"/>
          <w:sz w:val="18"/>
          <w:szCs w:val="18"/>
          <w:lang w:eastAsia="en-GB"/>
        </w:rPr>
      </w:pPr>
    </w:p>
    <w:p w14:paraId="3F00EB2B" w14:textId="3A93DD53" w:rsidR="00D51839" w:rsidRDefault="00D51839" w:rsidP="00D51839">
      <w:pPr>
        <w:spacing w:after="0" w:line="240" w:lineRule="auto"/>
        <w:jc w:val="center"/>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lastRenderedPageBreak/>
        <w:t>Annex 2 to the Services Agreement </w:t>
      </w:r>
      <w:r w:rsidR="002C6403">
        <w:rPr>
          <w:rFonts w:eastAsia="Times New Roman" w:cs="Calibri Light"/>
          <w:b/>
          <w:bCs/>
          <w:color w:val="214EA2"/>
          <w:sz w:val="22"/>
          <w:lang w:eastAsia="en-GB"/>
        </w:rPr>
        <w:t>for 2025</w:t>
      </w:r>
    </w:p>
    <w:p w14:paraId="214AAC69" w14:textId="77777777" w:rsidR="00D51839" w:rsidRPr="00ED36B4" w:rsidRDefault="00D51839" w:rsidP="00D51839">
      <w:pPr>
        <w:spacing w:after="0" w:line="240" w:lineRule="auto"/>
        <w:jc w:val="center"/>
        <w:textAlignment w:val="baseline"/>
        <w:rPr>
          <w:rFonts w:ascii="Segoe UI" w:eastAsia="Times New Roman" w:hAnsi="Segoe UI" w:cs="Segoe UI"/>
          <w:b/>
          <w:bCs/>
          <w:color w:val="214EA2"/>
          <w:sz w:val="18"/>
          <w:szCs w:val="18"/>
          <w:lang w:eastAsia="en-GB"/>
        </w:rPr>
      </w:pPr>
    </w:p>
    <w:p w14:paraId="48C4FF2D" w14:textId="77777777" w:rsidR="00D51839" w:rsidRPr="00ED36B4" w:rsidRDefault="00D51839" w:rsidP="00D51839">
      <w:pPr>
        <w:spacing w:after="0" w:line="240" w:lineRule="auto"/>
        <w:ind w:left="705" w:right="240"/>
        <w:jc w:val="center"/>
        <w:textAlignment w:val="baseline"/>
        <w:rPr>
          <w:rFonts w:ascii="Segoe UI" w:eastAsia="Times New Roman" w:hAnsi="Segoe UI" w:cs="Segoe UI"/>
          <w:color w:val="auto"/>
          <w:sz w:val="18"/>
          <w:szCs w:val="18"/>
          <w:lang w:eastAsia="en-GB"/>
        </w:rPr>
      </w:pPr>
      <w:r w:rsidRPr="00ED36B4">
        <w:rPr>
          <w:rFonts w:eastAsia="Times New Roman" w:cs="Calibri Light"/>
          <w:b/>
          <w:bCs/>
          <w:color w:val="92D050"/>
          <w:sz w:val="22"/>
          <w:lang w:val="hu-HU" w:eastAsia="en-GB"/>
        </w:rPr>
        <w:t>Data Processing Agreement </w:t>
      </w:r>
      <w:r w:rsidRPr="00ED36B4">
        <w:rPr>
          <w:rFonts w:eastAsia="Times New Roman" w:cs="Calibri Light"/>
          <w:color w:val="92D050"/>
          <w:sz w:val="22"/>
          <w:lang w:eastAsia="en-GB"/>
        </w:rPr>
        <w:t> </w:t>
      </w:r>
    </w:p>
    <w:p w14:paraId="487E42AE" w14:textId="77777777" w:rsidR="00D51839" w:rsidRPr="00ED36B4" w:rsidRDefault="00D51839" w:rsidP="00D51839">
      <w:pPr>
        <w:spacing w:after="0" w:line="240" w:lineRule="auto"/>
        <w:ind w:left="705" w:right="240"/>
        <w:jc w:val="center"/>
        <w:textAlignment w:val="baseline"/>
        <w:rPr>
          <w:rFonts w:ascii="Segoe UI" w:eastAsia="Times New Roman" w:hAnsi="Segoe UI" w:cs="Segoe UI"/>
          <w:color w:val="auto"/>
          <w:sz w:val="18"/>
          <w:szCs w:val="18"/>
          <w:lang w:eastAsia="en-GB"/>
        </w:rPr>
      </w:pPr>
      <w:r w:rsidRPr="00ED36B4">
        <w:rPr>
          <w:rFonts w:eastAsia="Times New Roman" w:cs="Calibri Light"/>
          <w:color w:val="92D050"/>
          <w:sz w:val="22"/>
          <w:lang w:eastAsia="en-GB"/>
        </w:rPr>
        <w:t> </w:t>
      </w:r>
    </w:p>
    <w:p w14:paraId="2ED0E52E" w14:textId="77777777" w:rsidR="00D51839" w:rsidRDefault="00D51839" w:rsidP="00D51839">
      <w:pPr>
        <w:numPr>
          <w:ilvl w:val="0"/>
          <w:numId w:val="184"/>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processing of personal data is subject to Regulation (EU) 2016/679 of the European Parliament and Council regarding the protection of individuals in respect of the processing of their personal data and of the free circulation of such data (hereinafter referred to as “</w:t>
      </w:r>
      <w:r w:rsidRPr="00ED36B4">
        <w:rPr>
          <w:rFonts w:eastAsia="Times New Roman" w:cs="Calibri Light"/>
          <w:b/>
          <w:bCs/>
          <w:color w:val="auto"/>
          <w:sz w:val="22"/>
          <w:lang w:val="hu-HU" w:eastAsia="en-GB"/>
        </w:rPr>
        <w:t>GDPR</w:t>
      </w:r>
      <w:r w:rsidRPr="00ED36B4">
        <w:rPr>
          <w:rFonts w:eastAsia="Times New Roman" w:cs="Calibri Light"/>
          <w:color w:val="auto"/>
          <w:sz w:val="22"/>
          <w:lang w:val="hu-HU" w:eastAsia="en-GB"/>
        </w:rPr>
        <w:t>”) and the Spanish Organic Law 3/2018, of 5</w:t>
      </w:r>
      <w:r w:rsidRPr="00ED36B4">
        <w:rPr>
          <w:rFonts w:eastAsia="Times New Roman" w:cs="Calibri Light"/>
          <w:color w:val="auto"/>
          <w:sz w:val="17"/>
          <w:szCs w:val="17"/>
          <w:vertAlign w:val="superscript"/>
          <w:lang w:val="hu-HU" w:eastAsia="en-GB"/>
        </w:rPr>
        <w:t>th</w:t>
      </w:r>
      <w:r w:rsidRPr="00ED36B4">
        <w:rPr>
          <w:rFonts w:eastAsia="Times New Roman" w:cs="Calibri Light"/>
          <w:color w:val="auto"/>
          <w:sz w:val="22"/>
          <w:lang w:val="hu-HU" w:eastAsia="en-GB"/>
        </w:rPr>
        <w:t xml:space="preserve"> December, on Personal Data Protection and Guarantee of Digital Rights.</w:t>
      </w:r>
      <w:r w:rsidRPr="00ED36B4">
        <w:rPr>
          <w:rFonts w:eastAsia="Times New Roman" w:cs="Calibri Light"/>
          <w:color w:val="auto"/>
          <w:sz w:val="22"/>
          <w:lang w:eastAsia="en-GB"/>
        </w:rPr>
        <w:t> </w:t>
      </w:r>
    </w:p>
    <w:p w14:paraId="1EF4D2A1"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314137D1" w14:textId="77777777" w:rsidR="00D51839" w:rsidRDefault="00D51839" w:rsidP="00D51839">
      <w:pPr>
        <w:numPr>
          <w:ilvl w:val="0"/>
          <w:numId w:val="185"/>
        </w:numPr>
        <w:spacing w:after="0" w:line="240" w:lineRule="auto"/>
        <w:ind w:left="10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Parties have determined to enter into this data processing agreement (hereinafter referred to as the “</w:t>
      </w:r>
      <w:r w:rsidRPr="00ED36B4">
        <w:rPr>
          <w:rFonts w:eastAsia="Times New Roman" w:cs="Calibri Light"/>
          <w:b/>
          <w:bCs/>
          <w:color w:val="auto"/>
          <w:sz w:val="22"/>
          <w:lang w:val="hu-HU" w:eastAsia="en-GB"/>
        </w:rPr>
        <w:t>Data Processing Agreement”</w:t>
      </w:r>
      <w:r w:rsidRPr="00ED36B4">
        <w:rPr>
          <w:rFonts w:eastAsia="Times New Roman" w:cs="Calibri Light"/>
          <w:color w:val="auto"/>
          <w:sz w:val="22"/>
          <w:lang w:val="hu-HU" w:eastAsia="en-GB"/>
        </w:rPr>
        <w:t>) having due regard to Article 28 of the GDPR. </w:t>
      </w:r>
      <w:r w:rsidRPr="00ED36B4">
        <w:rPr>
          <w:rFonts w:eastAsia="Times New Roman" w:cs="Calibri Light"/>
          <w:color w:val="auto"/>
          <w:sz w:val="22"/>
          <w:lang w:eastAsia="en-GB"/>
        </w:rPr>
        <w:t> </w:t>
      </w:r>
    </w:p>
    <w:p w14:paraId="2E0711C9" w14:textId="77777777" w:rsidR="00D51839" w:rsidRPr="00ED36B4" w:rsidRDefault="00D51839" w:rsidP="00D51839">
      <w:pPr>
        <w:spacing w:after="0" w:line="240" w:lineRule="auto"/>
        <w:ind w:left="1005"/>
        <w:jc w:val="both"/>
        <w:textAlignment w:val="baseline"/>
        <w:rPr>
          <w:rFonts w:eastAsia="Times New Roman" w:cs="Calibri Light"/>
          <w:color w:val="auto"/>
          <w:sz w:val="22"/>
          <w:lang w:eastAsia="en-GB"/>
        </w:rPr>
      </w:pPr>
    </w:p>
    <w:p w14:paraId="60422316" w14:textId="77777777" w:rsidR="00D51839" w:rsidRDefault="00D51839" w:rsidP="00D51839">
      <w:pPr>
        <w:numPr>
          <w:ilvl w:val="0"/>
          <w:numId w:val="186"/>
        </w:numPr>
        <w:spacing w:after="0" w:line="240" w:lineRule="auto"/>
        <w:ind w:left="10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This Data Processing Agreement is an integral part to the service agreement agreed between the Parties (hereinafter referred to as the “</w:t>
      </w:r>
      <w:r w:rsidRPr="00ED36B4">
        <w:rPr>
          <w:rFonts w:eastAsia="Times New Roman" w:cs="Calibri Light"/>
          <w:b/>
          <w:bCs/>
          <w:color w:val="auto"/>
          <w:sz w:val="22"/>
          <w:lang w:val="hu-HU" w:eastAsia="en-GB"/>
        </w:rPr>
        <w:t>Agreement</w:t>
      </w:r>
      <w:r w:rsidRPr="00ED36B4">
        <w:rPr>
          <w:rFonts w:eastAsia="Times New Roman" w:cs="Calibri Light"/>
          <w:color w:val="auto"/>
          <w:sz w:val="22"/>
          <w:lang w:val="hu-HU" w:eastAsia="en-GB"/>
        </w:rPr>
        <w:t>”)</w:t>
      </w:r>
      <w:r w:rsidRPr="00ED36B4">
        <w:rPr>
          <w:rFonts w:eastAsia="Times New Roman" w:cs="Calibri Light"/>
          <w:color w:val="auto"/>
          <w:sz w:val="22"/>
          <w:lang w:eastAsia="en-GB"/>
        </w:rPr>
        <w:t> </w:t>
      </w:r>
    </w:p>
    <w:p w14:paraId="6448DF60" w14:textId="77777777" w:rsidR="00D51839" w:rsidRPr="00ED36B4" w:rsidRDefault="00D51839" w:rsidP="00D51839">
      <w:pPr>
        <w:spacing w:after="0" w:line="240" w:lineRule="auto"/>
        <w:ind w:left="1005"/>
        <w:jc w:val="both"/>
        <w:textAlignment w:val="baseline"/>
        <w:rPr>
          <w:rFonts w:eastAsia="Times New Roman" w:cs="Calibri Light"/>
          <w:color w:val="auto"/>
          <w:sz w:val="22"/>
          <w:lang w:eastAsia="en-GB"/>
        </w:rPr>
      </w:pPr>
    </w:p>
    <w:p w14:paraId="5AAE64A7" w14:textId="77777777" w:rsidR="00D51839" w:rsidRPr="00ED36B4" w:rsidRDefault="00D51839" w:rsidP="00D51839">
      <w:pPr>
        <w:numPr>
          <w:ilvl w:val="0"/>
          <w:numId w:val="187"/>
        </w:numPr>
        <w:spacing w:after="0" w:line="240" w:lineRule="auto"/>
        <w:ind w:left="10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In the course of providing the services, the Supplier as "</w:t>
      </w:r>
      <w:r w:rsidRPr="00ED36B4">
        <w:rPr>
          <w:rFonts w:eastAsia="Times New Roman" w:cs="Calibri Light"/>
          <w:b/>
          <w:bCs/>
          <w:color w:val="auto"/>
          <w:sz w:val="22"/>
          <w:lang w:val="hu-HU" w:eastAsia="en-GB"/>
        </w:rPr>
        <w:t>Data Processor</w:t>
      </w:r>
      <w:r w:rsidRPr="00ED36B4">
        <w:rPr>
          <w:rFonts w:eastAsia="Times New Roman" w:cs="Calibri Light"/>
          <w:color w:val="auto"/>
          <w:sz w:val="22"/>
          <w:lang w:val="hu-HU" w:eastAsia="en-GB"/>
        </w:rPr>
        <w:t>" may process personal data on behalf of EIT UM (hereinafter referred to as: “</w:t>
      </w:r>
      <w:r w:rsidRPr="00ED36B4">
        <w:rPr>
          <w:rFonts w:eastAsia="Times New Roman" w:cs="Calibri Light"/>
          <w:b/>
          <w:bCs/>
          <w:color w:val="auto"/>
          <w:sz w:val="22"/>
          <w:lang w:val="hu-HU" w:eastAsia="en-GB"/>
        </w:rPr>
        <w:t>Personal Data</w:t>
      </w:r>
      <w:r w:rsidRPr="00ED36B4">
        <w:rPr>
          <w:rFonts w:eastAsia="Times New Roman" w:cs="Calibri Light"/>
          <w:color w:val="auto"/>
          <w:sz w:val="22"/>
          <w:lang w:val="hu-HU" w:eastAsia="en-GB"/>
        </w:rPr>
        <w:t>”). Therefore, the Parties agree to comply with the following provisions with respect to any Personal Data, each acting reasonably and in good faith.</w:t>
      </w:r>
      <w:r w:rsidRPr="00ED36B4">
        <w:rPr>
          <w:rFonts w:eastAsia="Times New Roman" w:cs="Calibri Light"/>
          <w:color w:val="auto"/>
          <w:sz w:val="22"/>
          <w:lang w:eastAsia="en-GB"/>
        </w:rPr>
        <w:t> </w:t>
      </w:r>
    </w:p>
    <w:p w14:paraId="6F584164"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27D19AA8" w14:textId="77777777" w:rsidR="00D51839" w:rsidRPr="00ED36B4" w:rsidRDefault="00D51839" w:rsidP="00D51839">
      <w:pPr>
        <w:spacing w:after="0" w:line="240" w:lineRule="auto"/>
        <w:ind w:left="150"/>
        <w:jc w:val="center"/>
        <w:textAlignment w:val="baseline"/>
        <w:rPr>
          <w:rFonts w:ascii="Segoe UI" w:eastAsia="Times New Roman" w:hAnsi="Segoe UI" w:cs="Segoe UI"/>
          <w:color w:val="auto"/>
          <w:sz w:val="18"/>
          <w:szCs w:val="18"/>
          <w:lang w:eastAsia="en-GB"/>
        </w:rPr>
      </w:pPr>
      <w:r w:rsidRPr="00ED36B4">
        <w:rPr>
          <w:rFonts w:eastAsia="Times New Roman" w:cs="Calibri Light"/>
          <w:b/>
          <w:bCs/>
          <w:color w:val="auto"/>
          <w:sz w:val="22"/>
          <w:lang w:val="hu-HU" w:eastAsia="en-GB"/>
        </w:rPr>
        <w:t>NOW IT IS HEREBY AGREED as follows:</w:t>
      </w:r>
      <w:r w:rsidRPr="00ED36B4">
        <w:rPr>
          <w:rFonts w:eastAsia="Times New Roman" w:cs="Calibri Light"/>
          <w:color w:val="auto"/>
          <w:sz w:val="22"/>
          <w:lang w:eastAsia="en-GB"/>
        </w:rPr>
        <w:t> </w:t>
      </w:r>
    </w:p>
    <w:p w14:paraId="2F26E64A"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025D74C3"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56550214" w14:textId="77777777" w:rsidR="00D51839" w:rsidRPr="00ED36B4" w:rsidRDefault="00D51839" w:rsidP="00D51839">
      <w:pPr>
        <w:numPr>
          <w:ilvl w:val="0"/>
          <w:numId w:val="188"/>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Purpose of the Processing Engagement.</w:t>
      </w:r>
      <w:r w:rsidRPr="00ED36B4">
        <w:rPr>
          <w:rFonts w:eastAsia="Times New Roman" w:cs="Calibri Light"/>
          <w:color w:val="2E74B5"/>
          <w:sz w:val="22"/>
          <w:lang w:eastAsia="en-GB"/>
        </w:rPr>
        <w:t> </w:t>
      </w:r>
    </w:p>
    <w:p w14:paraId="163D9DAD" w14:textId="77777777" w:rsidR="00D51839" w:rsidRPr="00ED36B4" w:rsidRDefault="00D51839" w:rsidP="00D51839">
      <w:pPr>
        <w:spacing w:after="0" w:line="240" w:lineRule="auto"/>
        <w:ind w:left="135"/>
        <w:jc w:val="both"/>
        <w:textAlignment w:val="baseline"/>
        <w:rPr>
          <w:rFonts w:ascii="Segoe UI" w:eastAsia="Times New Roman" w:hAnsi="Segoe UI" w:cs="Segoe UI"/>
          <w:color w:val="auto"/>
          <w:sz w:val="18"/>
          <w:szCs w:val="18"/>
          <w:lang w:eastAsia="en-GB"/>
        </w:rPr>
      </w:pPr>
      <w:r w:rsidRPr="00ED36B4">
        <w:rPr>
          <w:rFonts w:eastAsia="Times New Roman" w:cs="Calibri Light"/>
          <w:color w:val="4472C4"/>
          <w:sz w:val="22"/>
          <w:lang w:eastAsia="en-GB"/>
        </w:rPr>
        <w:t> </w:t>
      </w:r>
    </w:p>
    <w:p w14:paraId="54D6A93F" w14:textId="77777777" w:rsidR="00D51839" w:rsidRPr="00ED36B4" w:rsidRDefault="00D51839" w:rsidP="00D51839">
      <w:pPr>
        <w:numPr>
          <w:ilvl w:val="0"/>
          <w:numId w:val="189"/>
        </w:numPr>
        <w:spacing w:after="0" w:line="240" w:lineRule="auto"/>
        <w:ind w:left="855" w:firstLine="555"/>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purpose of this Data Processing Agreement is to establish the conditions under which during the provision of services the Data Processor shall be responsible for the processing of the Personal Data contained in some databases owned by the EIT UM and/or the Personal Data collected from data subjects, in order to be able to fulfill with the Agreement obligations. In no case the Data Processor may use the data to its own purposes.</w:t>
      </w:r>
      <w:r w:rsidRPr="00ED36B4">
        <w:rPr>
          <w:rFonts w:eastAsia="Times New Roman" w:cs="Calibri Light"/>
          <w:color w:val="auto"/>
          <w:sz w:val="22"/>
          <w:lang w:eastAsia="en-GB"/>
        </w:rPr>
        <w:t> </w:t>
      </w:r>
    </w:p>
    <w:p w14:paraId="4A27C6F4" w14:textId="77777777" w:rsidR="00D51839" w:rsidRPr="00ED36B4" w:rsidRDefault="00D51839" w:rsidP="00D51839">
      <w:pPr>
        <w:spacing w:after="0" w:line="240" w:lineRule="auto"/>
        <w:ind w:left="13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73085C26" w14:textId="77777777" w:rsidR="00D51839" w:rsidRPr="00ED36B4" w:rsidRDefault="00D51839" w:rsidP="00D51839">
      <w:pPr>
        <w:numPr>
          <w:ilvl w:val="0"/>
          <w:numId w:val="190"/>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Processing of EIT UM’s Personal Data</w:t>
      </w:r>
      <w:r w:rsidRPr="00ED36B4">
        <w:rPr>
          <w:rFonts w:eastAsia="Times New Roman" w:cs="Calibri Light"/>
          <w:color w:val="2E74B5"/>
          <w:sz w:val="22"/>
          <w:lang w:eastAsia="en-GB"/>
        </w:rPr>
        <w:t> </w:t>
      </w:r>
    </w:p>
    <w:p w14:paraId="22C41205" w14:textId="77777777" w:rsidR="00D51839" w:rsidRPr="00ED36B4" w:rsidRDefault="00D51839" w:rsidP="00D51839">
      <w:pPr>
        <w:spacing w:after="0" w:line="240" w:lineRule="auto"/>
        <w:ind w:left="135"/>
        <w:jc w:val="both"/>
        <w:textAlignment w:val="baseline"/>
        <w:rPr>
          <w:rFonts w:ascii="Segoe UI" w:eastAsia="Times New Roman" w:hAnsi="Segoe UI" w:cs="Segoe UI"/>
          <w:color w:val="auto"/>
          <w:sz w:val="18"/>
          <w:szCs w:val="18"/>
          <w:lang w:eastAsia="en-GB"/>
        </w:rPr>
      </w:pPr>
      <w:r w:rsidRPr="00ED36B4">
        <w:rPr>
          <w:rFonts w:eastAsia="Times New Roman" w:cs="Calibri Light"/>
          <w:color w:val="2E74B5"/>
          <w:sz w:val="22"/>
          <w:lang w:eastAsia="en-GB"/>
        </w:rPr>
        <w:t> </w:t>
      </w:r>
    </w:p>
    <w:p w14:paraId="56F4192A" w14:textId="77777777" w:rsidR="00D51839" w:rsidRDefault="00D51839" w:rsidP="00D51839">
      <w:pPr>
        <w:numPr>
          <w:ilvl w:val="0"/>
          <w:numId w:val="191"/>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EIT UM instructs the Data Processor to process EIT UM’s Personal Data.</w:t>
      </w:r>
      <w:r w:rsidRPr="00ED36B4">
        <w:rPr>
          <w:rFonts w:eastAsia="Times New Roman" w:cs="Calibri Light"/>
          <w:color w:val="auto"/>
          <w:sz w:val="22"/>
          <w:lang w:eastAsia="en-GB"/>
        </w:rPr>
        <w:t> </w:t>
      </w:r>
    </w:p>
    <w:p w14:paraId="6D7647CE"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6DADAB16" w14:textId="77777777" w:rsidR="00D51839" w:rsidRPr="00ED36B4" w:rsidRDefault="00D51839" w:rsidP="00D51839">
      <w:pPr>
        <w:numPr>
          <w:ilvl w:val="0"/>
          <w:numId w:val="192"/>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Data Processor shall:</w:t>
      </w:r>
      <w:r w:rsidRPr="00ED36B4">
        <w:rPr>
          <w:rFonts w:eastAsia="Times New Roman" w:cs="Calibri Light"/>
          <w:color w:val="auto"/>
          <w:sz w:val="22"/>
          <w:lang w:eastAsia="en-GB"/>
        </w:rPr>
        <w:t> </w:t>
      </w:r>
    </w:p>
    <w:p w14:paraId="3A895192" w14:textId="77777777" w:rsidR="00D51839" w:rsidRDefault="00D51839" w:rsidP="00D51839">
      <w:pPr>
        <w:numPr>
          <w:ilvl w:val="0"/>
          <w:numId w:val="193"/>
        </w:numPr>
        <w:spacing w:after="0" w:line="240" w:lineRule="auto"/>
        <w:ind w:left="157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Comply with all applicable data protection laws in the processing of EIT UM’s Personal Data;</w:t>
      </w:r>
      <w:r w:rsidRPr="00ED36B4">
        <w:rPr>
          <w:rFonts w:eastAsia="Times New Roman" w:cs="Calibri Light"/>
          <w:color w:val="auto"/>
          <w:sz w:val="22"/>
          <w:lang w:eastAsia="en-GB"/>
        </w:rPr>
        <w:t> </w:t>
      </w:r>
    </w:p>
    <w:p w14:paraId="410B1B24" w14:textId="77777777" w:rsidR="00D51839" w:rsidRPr="00ED36B4" w:rsidRDefault="00D51839" w:rsidP="00D51839">
      <w:pPr>
        <w:spacing w:after="0" w:line="240" w:lineRule="auto"/>
        <w:ind w:left="1575"/>
        <w:jc w:val="both"/>
        <w:textAlignment w:val="baseline"/>
        <w:rPr>
          <w:rFonts w:eastAsia="Times New Roman" w:cs="Calibri Light"/>
          <w:color w:val="auto"/>
          <w:sz w:val="22"/>
          <w:lang w:eastAsia="en-GB"/>
        </w:rPr>
      </w:pPr>
    </w:p>
    <w:p w14:paraId="621D0A65" w14:textId="77777777" w:rsidR="00D51839" w:rsidRDefault="00D51839" w:rsidP="00D51839">
      <w:pPr>
        <w:numPr>
          <w:ilvl w:val="0"/>
          <w:numId w:val="194"/>
        </w:numPr>
        <w:spacing w:after="0" w:line="240" w:lineRule="auto"/>
        <w:ind w:left="157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Not process EIT UM’s Personal Data other than on the relevant EIT UM’s documented instructions and only for the purpose of providing the services under the Agreement. If the Data Processor considers that any of the instructions infringes the GDPR or any other data protection regulation, the Data Processor shall immediately inform EIT UM.</w:t>
      </w:r>
      <w:r w:rsidRPr="00ED36B4">
        <w:rPr>
          <w:rFonts w:eastAsia="Times New Roman" w:cs="Calibri Light"/>
          <w:color w:val="auto"/>
          <w:sz w:val="22"/>
          <w:lang w:eastAsia="en-GB"/>
        </w:rPr>
        <w:t> </w:t>
      </w:r>
    </w:p>
    <w:p w14:paraId="0F24A820" w14:textId="77777777" w:rsidR="00D51839" w:rsidRPr="00ED36B4" w:rsidRDefault="00D51839" w:rsidP="00D51839">
      <w:pPr>
        <w:spacing w:after="0" w:line="240" w:lineRule="auto"/>
        <w:ind w:left="1575"/>
        <w:jc w:val="both"/>
        <w:textAlignment w:val="baseline"/>
        <w:rPr>
          <w:rFonts w:eastAsia="Times New Roman" w:cs="Calibri Light"/>
          <w:color w:val="auto"/>
          <w:sz w:val="22"/>
          <w:lang w:eastAsia="en-GB"/>
        </w:rPr>
      </w:pPr>
    </w:p>
    <w:p w14:paraId="0C528887" w14:textId="77777777" w:rsidR="00D51839" w:rsidRDefault="00D51839" w:rsidP="00D51839">
      <w:pPr>
        <w:numPr>
          <w:ilvl w:val="0"/>
          <w:numId w:val="195"/>
        </w:numPr>
        <w:spacing w:after="0" w:line="240" w:lineRule="auto"/>
        <w:ind w:left="157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lastRenderedPageBreak/>
        <w:t>In the event that the Data Processor needs to process Personal Data of any data subject on behalf of the EIT UM, the Data Processor shall comply with the GDPR in the collection of any such data, including collecting  the data subjects express consent, where applicable  and if so instructed by EIT UM. Upon EIT UM requirement, the Data Processor shall use the consent form provided by EIT UM.</w:t>
      </w:r>
      <w:r w:rsidRPr="00ED36B4">
        <w:rPr>
          <w:rFonts w:eastAsia="Times New Roman" w:cs="Calibri Light"/>
          <w:color w:val="auto"/>
          <w:sz w:val="22"/>
          <w:lang w:eastAsia="en-GB"/>
        </w:rPr>
        <w:t> </w:t>
      </w:r>
    </w:p>
    <w:p w14:paraId="554C5FA9" w14:textId="77777777" w:rsidR="00D51839" w:rsidRPr="00ED36B4" w:rsidRDefault="00D51839" w:rsidP="00D51839">
      <w:pPr>
        <w:spacing w:after="0" w:line="240" w:lineRule="auto"/>
        <w:ind w:left="1575"/>
        <w:jc w:val="both"/>
        <w:textAlignment w:val="baseline"/>
        <w:rPr>
          <w:rFonts w:eastAsia="Times New Roman" w:cs="Calibri Light"/>
          <w:color w:val="auto"/>
          <w:sz w:val="22"/>
          <w:lang w:eastAsia="en-GB"/>
        </w:rPr>
      </w:pPr>
    </w:p>
    <w:p w14:paraId="6DFEAE35" w14:textId="77777777" w:rsidR="00D51839" w:rsidRDefault="00D51839" w:rsidP="00D51839">
      <w:pPr>
        <w:numPr>
          <w:ilvl w:val="0"/>
          <w:numId w:val="196"/>
        </w:numPr>
        <w:spacing w:after="0" w:line="240" w:lineRule="auto"/>
        <w:ind w:left="157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 xml:space="preserve">Describe the specifications of the processing: subject-matter, duration nature and purpose of the processing, the type of personal data, categories of data subjects and the subcontracted processing, according to </w:t>
      </w:r>
      <w:r w:rsidRPr="00ED36B4">
        <w:rPr>
          <w:rFonts w:eastAsia="Times New Roman" w:cs="Calibri Light"/>
          <w:b/>
          <w:bCs/>
          <w:color w:val="auto"/>
          <w:sz w:val="22"/>
          <w:lang w:val="hu-HU" w:eastAsia="en-GB"/>
        </w:rPr>
        <w:t>Exhibit A</w:t>
      </w:r>
      <w:r w:rsidRPr="00ED36B4">
        <w:rPr>
          <w:rFonts w:eastAsia="Times New Roman" w:cs="Calibri Light"/>
          <w:color w:val="auto"/>
          <w:sz w:val="22"/>
          <w:lang w:val="hu-HU" w:eastAsia="en-GB"/>
        </w:rPr>
        <w:t>.</w:t>
      </w:r>
      <w:r w:rsidRPr="00ED36B4">
        <w:rPr>
          <w:rFonts w:eastAsia="Times New Roman" w:cs="Calibri Light"/>
          <w:color w:val="auto"/>
          <w:sz w:val="22"/>
          <w:lang w:eastAsia="en-GB"/>
        </w:rPr>
        <w:t> </w:t>
      </w:r>
    </w:p>
    <w:p w14:paraId="5E6E22F6" w14:textId="77777777" w:rsidR="00D51839" w:rsidRPr="00ED36B4" w:rsidRDefault="00D51839" w:rsidP="00D51839">
      <w:pPr>
        <w:spacing w:after="0" w:line="240" w:lineRule="auto"/>
        <w:ind w:left="1575"/>
        <w:jc w:val="both"/>
        <w:textAlignment w:val="baseline"/>
        <w:rPr>
          <w:rFonts w:eastAsia="Times New Roman" w:cs="Calibri Light"/>
          <w:color w:val="auto"/>
          <w:sz w:val="22"/>
          <w:lang w:eastAsia="en-GB"/>
        </w:rPr>
      </w:pPr>
    </w:p>
    <w:p w14:paraId="42400D03" w14:textId="77777777" w:rsidR="00D51839" w:rsidRPr="00ED36B4" w:rsidRDefault="00D51839" w:rsidP="00D51839">
      <w:pPr>
        <w:numPr>
          <w:ilvl w:val="0"/>
          <w:numId w:val="197"/>
        </w:numPr>
        <w:spacing w:after="0" w:line="240" w:lineRule="auto"/>
        <w:ind w:left="157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If applicable, keep a written record of all categories of processing activities carried out on behalf of EIT UM according to art. 30.5 of the GDPR, containing:</w:t>
      </w:r>
      <w:r w:rsidRPr="00ED36B4">
        <w:rPr>
          <w:rFonts w:eastAsia="Times New Roman" w:cs="Calibri Light"/>
          <w:color w:val="auto"/>
          <w:sz w:val="22"/>
          <w:lang w:eastAsia="en-GB"/>
        </w:rPr>
        <w:t> </w:t>
      </w:r>
    </w:p>
    <w:p w14:paraId="2E3FF72B" w14:textId="77777777" w:rsidR="00D51839" w:rsidRPr="00ED36B4" w:rsidRDefault="00D51839" w:rsidP="00D51839">
      <w:pPr>
        <w:numPr>
          <w:ilvl w:val="0"/>
          <w:numId w:val="198"/>
        </w:numPr>
        <w:spacing w:after="0" w:line="240" w:lineRule="auto"/>
        <w:ind w:left="262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name and contact details of the Data Processor and sub-processors and each person in charge of the processing.</w:t>
      </w:r>
      <w:r w:rsidRPr="00ED36B4">
        <w:rPr>
          <w:rFonts w:eastAsia="Times New Roman" w:cs="Calibri Light"/>
          <w:color w:val="auto"/>
          <w:sz w:val="22"/>
          <w:lang w:eastAsia="en-GB"/>
        </w:rPr>
        <w:t> </w:t>
      </w:r>
    </w:p>
    <w:p w14:paraId="66FA069C" w14:textId="77777777" w:rsidR="00D51839" w:rsidRPr="00ED36B4" w:rsidRDefault="00D51839" w:rsidP="00D51839">
      <w:pPr>
        <w:numPr>
          <w:ilvl w:val="0"/>
          <w:numId w:val="199"/>
        </w:numPr>
        <w:spacing w:after="0" w:line="240" w:lineRule="auto"/>
        <w:ind w:left="262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categories of processing carried out on behalf of each responsible.</w:t>
      </w:r>
      <w:r w:rsidRPr="00ED36B4">
        <w:rPr>
          <w:rFonts w:eastAsia="Times New Roman" w:cs="Calibri Light"/>
          <w:color w:val="auto"/>
          <w:sz w:val="22"/>
          <w:lang w:eastAsia="en-GB"/>
        </w:rPr>
        <w:t> </w:t>
      </w:r>
    </w:p>
    <w:p w14:paraId="20DC6E48" w14:textId="77777777" w:rsidR="00D51839" w:rsidRPr="00ED36B4" w:rsidRDefault="00D51839" w:rsidP="00D51839">
      <w:pPr>
        <w:numPr>
          <w:ilvl w:val="0"/>
          <w:numId w:val="200"/>
        </w:numPr>
        <w:spacing w:after="0" w:line="240" w:lineRule="auto"/>
        <w:ind w:left="262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If applicable, transfers of Personal Data to a third country or international organisation, including the identification of that third party country or international organization and, in the case of transfers referred to in the second subparagraph of Article 49 (1) of the GDPR, the documentation of adequate guarantees.</w:t>
      </w:r>
      <w:r w:rsidRPr="00ED36B4">
        <w:rPr>
          <w:rFonts w:eastAsia="Times New Roman" w:cs="Calibri Light"/>
          <w:color w:val="auto"/>
          <w:sz w:val="22"/>
          <w:lang w:eastAsia="en-GB"/>
        </w:rPr>
        <w:t> </w:t>
      </w:r>
    </w:p>
    <w:p w14:paraId="437F914E" w14:textId="77777777" w:rsidR="00D51839" w:rsidRPr="00ED36B4" w:rsidRDefault="00D51839" w:rsidP="00D51839">
      <w:pPr>
        <w:numPr>
          <w:ilvl w:val="0"/>
          <w:numId w:val="201"/>
        </w:numPr>
        <w:spacing w:after="0" w:line="240" w:lineRule="auto"/>
        <w:ind w:left="262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An overview of the technical and organizational measures of security relating to:</w:t>
      </w:r>
      <w:r w:rsidRPr="00ED36B4">
        <w:rPr>
          <w:rFonts w:eastAsia="Times New Roman" w:cs="Calibri Light"/>
          <w:color w:val="auto"/>
          <w:sz w:val="22"/>
          <w:lang w:eastAsia="en-GB"/>
        </w:rPr>
        <w:t> </w:t>
      </w:r>
    </w:p>
    <w:p w14:paraId="0FF62C50" w14:textId="77777777" w:rsidR="00D51839" w:rsidRPr="00ED36B4" w:rsidRDefault="00D51839" w:rsidP="00D51839">
      <w:pPr>
        <w:numPr>
          <w:ilvl w:val="0"/>
          <w:numId w:val="202"/>
        </w:numPr>
        <w:spacing w:after="0" w:line="240" w:lineRule="auto"/>
        <w:ind w:left="304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Pseudonymization and encryption of Personal Data.</w:t>
      </w:r>
      <w:r w:rsidRPr="00ED36B4">
        <w:rPr>
          <w:rFonts w:eastAsia="Times New Roman" w:cs="Calibri Light"/>
          <w:color w:val="auto"/>
          <w:sz w:val="22"/>
          <w:lang w:eastAsia="en-GB"/>
        </w:rPr>
        <w:t> </w:t>
      </w:r>
    </w:p>
    <w:p w14:paraId="720EBDC5" w14:textId="77777777" w:rsidR="00D51839" w:rsidRPr="00ED36B4" w:rsidRDefault="00D51839" w:rsidP="00D51839">
      <w:pPr>
        <w:numPr>
          <w:ilvl w:val="0"/>
          <w:numId w:val="203"/>
        </w:numPr>
        <w:spacing w:after="0" w:line="240" w:lineRule="auto"/>
        <w:ind w:left="304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ability to ensure the permanent confidentiality, integrity, availability and resilience of processing systems and services.</w:t>
      </w:r>
      <w:r w:rsidRPr="00ED36B4">
        <w:rPr>
          <w:rFonts w:eastAsia="Times New Roman" w:cs="Calibri Light"/>
          <w:color w:val="auto"/>
          <w:sz w:val="22"/>
          <w:lang w:eastAsia="en-GB"/>
        </w:rPr>
        <w:t> </w:t>
      </w:r>
    </w:p>
    <w:p w14:paraId="3A931E0F" w14:textId="77777777" w:rsidR="00D51839" w:rsidRPr="00ED36B4" w:rsidRDefault="00D51839" w:rsidP="00D51839">
      <w:pPr>
        <w:numPr>
          <w:ilvl w:val="0"/>
          <w:numId w:val="204"/>
        </w:numPr>
        <w:spacing w:after="0" w:line="240" w:lineRule="auto"/>
        <w:ind w:left="304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ability to restore availability and access to Personal Data quickly, in the event of a physical or technical incident.</w:t>
      </w:r>
      <w:r w:rsidRPr="00ED36B4">
        <w:rPr>
          <w:rFonts w:eastAsia="Times New Roman" w:cs="Calibri Light"/>
          <w:color w:val="auto"/>
          <w:sz w:val="22"/>
          <w:lang w:eastAsia="en-GB"/>
        </w:rPr>
        <w:t> </w:t>
      </w:r>
    </w:p>
    <w:p w14:paraId="38F50A14" w14:textId="77777777" w:rsidR="00D51839" w:rsidRDefault="00D51839" w:rsidP="00D51839">
      <w:pPr>
        <w:numPr>
          <w:ilvl w:val="0"/>
          <w:numId w:val="205"/>
        </w:numPr>
        <w:spacing w:after="0" w:line="240" w:lineRule="auto"/>
        <w:ind w:left="304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process of regular verification, evaluation, and valuation of the effectiveness of technical and organisational measures to guarantee the security of the treatment.</w:t>
      </w:r>
      <w:r w:rsidRPr="00ED36B4">
        <w:rPr>
          <w:rFonts w:eastAsia="Times New Roman" w:cs="Calibri Light"/>
          <w:color w:val="auto"/>
          <w:sz w:val="22"/>
          <w:lang w:eastAsia="en-GB"/>
        </w:rPr>
        <w:t> </w:t>
      </w:r>
    </w:p>
    <w:p w14:paraId="2B9078EF" w14:textId="77777777" w:rsidR="00D51839" w:rsidRPr="00ED36B4" w:rsidRDefault="00D51839" w:rsidP="00D51839">
      <w:pPr>
        <w:spacing w:after="0" w:line="240" w:lineRule="auto"/>
        <w:ind w:left="3045"/>
        <w:jc w:val="both"/>
        <w:textAlignment w:val="baseline"/>
        <w:rPr>
          <w:rFonts w:eastAsia="Times New Roman" w:cs="Calibri Light"/>
          <w:color w:val="auto"/>
          <w:sz w:val="22"/>
          <w:lang w:eastAsia="en-GB"/>
        </w:rPr>
      </w:pPr>
    </w:p>
    <w:p w14:paraId="607C303B" w14:textId="77777777" w:rsidR="00D51839" w:rsidRPr="00ED36B4" w:rsidRDefault="00D51839" w:rsidP="00D51839">
      <w:pPr>
        <w:numPr>
          <w:ilvl w:val="0"/>
          <w:numId w:val="206"/>
        </w:numPr>
        <w:spacing w:after="0" w:line="240" w:lineRule="auto"/>
        <w:ind w:left="157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Not to communicate the Personal Data to third parties, except with the express authorisation of the Data EIT UM, in the legally admissible cases.  </w:t>
      </w:r>
      <w:r w:rsidRPr="00ED36B4">
        <w:rPr>
          <w:rFonts w:eastAsia="Times New Roman" w:cs="Calibri Light"/>
          <w:color w:val="auto"/>
          <w:sz w:val="22"/>
          <w:lang w:eastAsia="en-GB"/>
        </w:rPr>
        <w:t> </w:t>
      </w:r>
    </w:p>
    <w:p w14:paraId="1753253F" w14:textId="77777777" w:rsidR="00D51839" w:rsidRDefault="00D51839" w:rsidP="00D51839">
      <w:pPr>
        <w:spacing w:after="0" w:line="240" w:lineRule="auto"/>
        <w:ind w:left="156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Data Processor may communicate the Personal Data to other processors of the same EIT UM, in accordance with EIT UM’s instructions.  In this case, EIT UM shall identify, in advance and in writing, the entity to which the data must be communicated, the data to be communicated and the security measures to be applied for the communication.</w:t>
      </w:r>
      <w:r w:rsidRPr="00ED36B4">
        <w:rPr>
          <w:rFonts w:eastAsia="Times New Roman" w:cs="Calibri Light"/>
          <w:color w:val="auto"/>
          <w:sz w:val="22"/>
          <w:lang w:eastAsia="en-GB"/>
        </w:rPr>
        <w:t> </w:t>
      </w:r>
    </w:p>
    <w:p w14:paraId="6BC8A53F"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p>
    <w:p w14:paraId="0B78470B"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204A2CDE" w14:textId="77777777" w:rsidR="00D51839" w:rsidRPr="00ED36B4" w:rsidRDefault="00D51839" w:rsidP="00D51839">
      <w:pPr>
        <w:numPr>
          <w:ilvl w:val="0"/>
          <w:numId w:val="207"/>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Data Processor Personnel</w:t>
      </w:r>
      <w:r w:rsidRPr="00ED36B4">
        <w:rPr>
          <w:rFonts w:eastAsia="Times New Roman" w:cs="Calibri Light"/>
          <w:color w:val="2E74B5"/>
          <w:sz w:val="22"/>
          <w:lang w:eastAsia="en-GB"/>
        </w:rPr>
        <w:t> </w:t>
      </w:r>
    </w:p>
    <w:p w14:paraId="58A7F925" w14:textId="77777777" w:rsidR="00D51839" w:rsidRPr="00ED36B4" w:rsidRDefault="00D51839" w:rsidP="00D51839">
      <w:pPr>
        <w:spacing w:after="0" w:line="240" w:lineRule="auto"/>
        <w:ind w:left="135"/>
        <w:jc w:val="both"/>
        <w:textAlignment w:val="baseline"/>
        <w:rPr>
          <w:rFonts w:ascii="Segoe UI" w:eastAsia="Times New Roman" w:hAnsi="Segoe UI" w:cs="Segoe UI"/>
          <w:color w:val="auto"/>
          <w:sz w:val="18"/>
          <w:szCs w:val="18"/>
          <w:lang w:eastAsia="en-GB"/>
        </w:rPr>
      </w:pPr>
      <w:r w:rsidRPr="00ED36B4">
        <w:rPr>
          <w:rFonts w:eastAsia="Times New Roman" w:cs="Calibri Light"/>
          <w:color w:val="2E74B5"/>
          <w:sz w:val="22"/>
          <w:lang w:eastAsia="en-GB"/>
        </w:rPr>
        <w:t> </w:t>
      </w:r>
    </w:p>
    <w:p w14:paraId="3F0DD8A2" w14:textId="77777777" w:rsidR="00D51839" w:rsidRDefault="00D51839" w:rsidP="00D51839">
      <w:pPr>
        <w:numPr>
          <w:ilvl w:val="0"/>
          <w:numId w:val="208"/>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 xml:space="preserve">The Data Processor shall take reasonable steps to ensure the reliability of any employee, agent or contractor of any sub-contracted processor who may have  access to EIT UM’s Personal Data, ensuring in each case that access is strictly limited to those individuals who need to know or access the relevant EIT UM’s Personal Data, as strictly necessary for the purposes of the </w:t>
      </w:r>
      <w:r w:rsidRPr="00ED36B4">
        <w:rPr>
          <w:rFonts w:eastAsia="Times New Roman" w:cs="Calibri Light"/>
          <w:color w:val="auto"/>
          <w:sz w:val="22"/>
          <w:lang w:val="hu-HU" w:eastAsia="en-GB"/>
        </w:rPr>
        <w:lastRenderedPageBreak/>
        <w:t>Agreement, and to comply with the applicable laws in the context of that individual's duties to the sub-processor, ensuring that all such individuals are subject to confidentiality undertakings or professional or statutory obligations of confidentiality.</w:t>
      </w:r>
      <w:r w:rsidRPr="00ED36B4">
        <w:rPr>
          <w:rFonts w:eastAsia="Times New Roman" w:cs="Calibri Light"/>
          <w:color w:val="auto"/>
          <w:sz w:val="22"/>
          <w:lang w:eastAsia="en-GB"/>
        </w:rPr>
        <w:t> </w:t>
      </w:r>
    </w:p>
    <w:p w14:paraId="113C90AD"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5B86FDCF" w14:textId="77777777" w:rsidR="00D51839" w:rsidRPr="00A71F71" w:rsidRDefault="00D51839" w:rsidP="00D51839">
      <w:pPr>
        <w:numPr>
          <w:ilvl w:val="0"/>
          <w:numId w:val="209"/>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Security</w:t>
      </w:r>
      <w:r w:rsidRPr="00ED36B4">
        <w:rPr>
          <w:rFonts w:eastAsia="Times New Roman" w:cs="Calibri Light"/>
          <w:color w:val="2E74B5"/>
          <w:sz w:val="22"/>
          <w:lang w:eastAsia="en-GB"/>
        </w:rPr>
        <w:t> </w:t>
      </w:r>
    </w:p>
    <w:p w14:paraId="64C3DA8B" w14:textId="77777777" w:rsidR="00D51839" w:rsidRPr="00ED36B4" w:rsidRDefault="00D51839" w:rsidP="00D51839">
      <w:pPr>
        <w:spacing w:after="0" w:line="240" w:lineRule="auto"/>
        <w:ind w:left="1425"/>
        <w:jc w:val="both"/>
        <w:textAlignment w:val="baseline"/>
        <w:rPr>
          <w:rFonts w:eastAsia="Times New Roman" w:cs="Calibri Light"/>
          <w:color w:val="auto"/>
          <w:sz w:val="22"/>
          <w:lang w:eastAsia="en-GB"/>
        </w:rPr>
      </w:pPr>
    </w:p>
    <w:p w14:paraId="48A3F95C" w14:textId="77777777" w:rsidR="00D51839" w:rsidRDefault="00D51839" w:rsidP="00D51839">
      <w:pPr>
        <w:numPr>
          <w:ilvl w:val="0"/>
          <w:numId w:val="210"/>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Taking into account the state of the art, the costs of implementation and the nature, scope, context and purposes of the processing as well as the risk of varying likelihood and severity for the rights and freedoms of natural persons, the Data Processor shall in relation to EIT UM’s Personal Data implement appropriate technical and organizational measures to ensure a level of security appropriate to that risk, including, as appropriate, the measures referred to in Article 32(1) of the GDPR.</w:t>
      </w:r>
      <w:r w:rsidRPr="00ED36B4">
        <w:rPr>
          <w:rFonts w:eastAsia="Times New Roman" w:cs="Calibri Light"/>
          <w:color w:val="auto"/>
          <w:sz w:val="22"/>
          <w:lang w:eastAsia="en-GB"/>
        </w:rPr>
        <w:t> </w:t>
      </w:r>
    </w:p>
    <w:p w14:paraId="55A229B8"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492755E1" w14:textId="77777777" w:rsidR="00D51839" w:rsidRDefault="00D51839" w:rsidP="00D51839">
      <w:pPr>
        <w:numPr>
          <w:ilvl w:val="0"/>
          <w:numId w:val="211"/>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In assessing the appropriate level of security, Data Processor shall take account the risks that are presented by the processing, in particular from a Personal Data breach.</w:t>
      </w:r>
      <w:r w:rsidRPr="00ED36B4">
        <w:rPr>
          <w:rFonts w:eastAsia="Times New Roman" w:cs="Calibri Light"/>
          <w:color w:val="auto"/>
          <w:sz w:val="22"/>
          <w:lang w:eastAsia="en-GB"/>
        </w:rPr>
        <w:t> </w:t>
      </w:r>
    </w:p>
    <w:p w14:paraId="05167102"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48FA0C27" w14:textId="77777777" w:rsidR="00D51839" w:rsidRPr="00ED36B4" w:rsidRDefault="00D51839" w:rsidP="00D51839">
      <w:pPr>
        <w:numPr>
          <w:ilvl w:val="0"/>
          <w:numId w:val="212"/>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In any case, the Data Processor shall implement mechanisms to:</w:t>
      </w:r>
      <w:r w:rsidRPr="00ED36B4">
        <w:rPr>
          <w:rFonts w:eastAsia="Times New Roman" w:cs="Calibri Light"/>
          <w:color w:val="auto"/>
          <w:sz w:val="22"/>
          <w:lang w:eastAsia="en-GB"/>
        </w:rPr>
        <w:t> </w:t>
      </w:r>
    </w:p>
    <w:p w14:paraId="3BB11760" w14:textId="77777777" w:rsidR="00D51839" w:rsidRPr="00ED36B4" w:rsidRDefault="00D51839" w:rsidP="00D51839">
      <w:pPr>
        <w:numPr>
          <w:ilvl w:val="0"/>
          <w:numId w:val="213"/>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Ensure the continued confidentiality, integrity, availability and resilience of processing systems and services.</w:t>
      </w:r>
      <w:r w:rsidRPr="00ED36B4">
        <w:rPr>
          <w:rFonts w:eastAsia="Times New Roman" w:cs="Calibri Light"/>
          <w:color w:val="auto"/>
          <w:sz w:val="22"/>
          <w:lang w:eastAsia="en-GB"/>
        </w:rPr>
        <w:t> </w:t>
      </w:r>
    </w:p>
    <w:p w14:paraId="13DA843C" w14:textId="77777777" w:rsidR="00D51839" w:rsidRPr="00ED36B4" w:rsidRDefault="00D51839" w:rsidP="00D51839">
      <w:pPr>
        <w:numPr>
          <w:ilvl w:val="0"/>
          <w:numId w:val="214"/>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Restore availability and access to Personal Data in a timely manner in the event of a physical or technical incident.</w:t>
      </w:r>
      <w:r w:rsidRPr="00ED36B4">
        <w:rPr>
          <w:rFonts w:eastAsia="Times New Roman" w:cs="Calibri Light"/>
          <w:color w:val="auto"/>
          <w:sz w:val="22"/>
          <w:lang w:eastAsia="en-GB"/>
        </w:rPr>
        <w:t> </w:t>
      </w:r>
    </w:p>
    <w:p w14:paraId="410FBAC7" w14:textId="77777777" w:rsidR="00D51839" w:rsidRPr="00ED36B4" w:rsidRDefault="00D51839" w:rsidP="00D51839">
      <w:pPr>
        <w:numPr>
          <w:ilvl w:val="0"/>
          <w:numId w:val="215"/>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Verify, evaluate and assess, on a regular basis, the effectiveness of the technical and organizational measures in place to the security of the processing. </w:t>
      </w:r>
      <w:r w:rsidRPr="00ED36B4">
        <w:rPr>
          <w:rFonts w:eastAsia="Times New Roman" w:cs="Calibri Light"/>
          <w:color w:val="auto"/>
          <w:sz w:val="22"/>
          <w:lang w:eastAsia="en-GB"/>
        </w:rPr>
        <w:t> </w:t>
      </w:r>
    </w:p>
    <w:p w14:paraId="137D3AFD" w14:textId="77777777" w:rsidR="00D51839" w:rsidRPr="00ED36B4" w:rsidRDefault="00D51839" w:rsidP="00D51839">
      <w:pPr>
        <w:numPr>
          <w:ilvl w:val="0"/>
          <w:numId w:val="216"/>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Pseudonymize and encrypt Personal Data, where appropriate.</w:t>
      </w:r>
      <w:r w:rsidRPr="00ED36B4">
        <w:rPr>
          <w:rFonts w:eastAsia="Times New Roman" w:cs="Calibri Light"/>
          <w:color w:val="auto"/>
          <w:sz w:val="22"/>
          <w:lang w:eastAsia="en-GB"/>
        </w:rPr>
        <w:t> </w:t>
      </w:r>
    </w:p>
    <w:p w14:paraId="464CB574" w14:textId="77777777" w:rsidR="00D51839" w:rsidRDefault="00D51839" w:rsidP="00D51839">
      <w:pPr>
        <w:numPr>
          <w:ilvl w:val="0"/>
          <w:numId w:val="217"/>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Designate a data protection officer and communicate his/her identity and contact details to the EIT UM, where appropriate.</w:t>
      </w:r>
      <w:r w:rsidRPr="00ED36B4">
        <w:rPr>
          <w:rFonts w:eastAsia="Times New Roman" w:cs="Calibri Light"/>
          <w:color w:val="auto"/>
          <w:sz w:val="22"/>
          <w:lang w:eastAsia="en-GB"/>
        </w:rPr>
        <w:t> </w:t>
      </w:r>
    </w:p>
    <w:p w14:paraId="07DA102A" w14:textId="77777777" w:rsidR="00D51839" w:rsidRPr="00ED36B4" w:rsidRDefault="00D51839" w:rsidP="00D51839">
      <w:pPr>
        <w:spacing w:after="0" w:line="240" w:lineRule="auto"/>
        <w:ind w:left="1905"/>
        <w:jc w:val="both"/>
        <w:textAlignment w:val="baseline"/>
        <w:rPr>
          <w:rFonts w:eastAsia="Times New Roman" w:cs="Calibri Light"/>
          <w:color w:val="auto"/>
          <w:sz w:val="22"/>
          <w:lang w:eastAsia="en-GB"/>
        </w:rPr>
      </w:pPr>
    </w:p>
    <w:p w14:paraId="53AAD9BF" w14:textId="77777777" w:rsidR="00D51839" w:rsidRPr="00A71F71" w:rsidRDefault="00D51839" w:rsidP="00D51839">
      <w:pPr>
        <w:numPr>
          <w:ilvl w:val="0"/>
          <w:numId w:val="218"/>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Outsourcing</w:t>
      </w:r>
      <w:r w:rsidRPr="00ED36B4">
        <w:rPr>
          <w:rFonts w:eastAsia="Times New Roman" w:cs="Calibri Light"/>
          <w:color w:val="2E74B5"/>
          <w:sz w:val="22"/>
          <w:lang w:eastAsia="en-GB"/>
        </w:rPr>
        <w:t> </w:t>
      </w:r>
    </w:p>
    <w:p w14:paraId="5C7060F5" w14:textId="77777777" w:rsidR="00D51839" w:rsidRPr="00ED36B4" w:rsidRDefault="00D51839" w:rsidP="00D51839">
      <w:pPr>
        <w:spacing w:after="0" w:line="240" w:lineRule="auto"/>
        <w:ind w:left="1425"/>
        <w:jc w:val="both"/>
        <w:textAlignment w:val="baseline"/>
        <w:rPr>
          <w:rFonts w:eastAsia="Times New Roman" w:cs="Calibri Light"/>
          <w:color w:val="auto"/>
          <w:sz w:val="22"/>
          <w:lang w:eastAsia="en-GB"/>
        </w:rPr>
      </w:pPr>
    </w:p>
    <w:p w14:paraId="5E447869" w14:textId="77777777" w:rsidR="00D51839" w:rsidRDefault="00D51839" w:rsidP="00D51839">
      <w:pPr>
        <w:numPr>
          <w:ilvl w:val="0"/>
          <w:numId w:val="219"/>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Data Processor shall not outsource the provision of any of the services to be performed under this Data Processing Agreement which involve the processing of Personal Data, except for ancillary services needed for the normal operation of the Data Processor’s services.</w:t>
      </w:r>
      <w:r w:rsidRPr="00ED36B4">
        <w:rPr>
          <w:rFonts w:eastAsia="Times New Roman" w:cs="Calibri Light"/>
          <w:color w:val="auto"/>
          <w:sz w:val="22"/>
          <w:lang w:eastAsia="en-GB"/>
        </w:rPr>
        <w:t> </w:t>
      </w:r>
    </w:p>
    <w:p w14:paraId="03CC3315"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4BD0656D" w14:textId="77777777" w:rsidR="00D51839" w:rsidRDefault="00D51839" w:rsidP="00D51839">
      <w:pPr>
        <w:numPr>
          <w:ilvl w:val="0"/>
          <w:numId w:val="220"/>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When it is necessary to outsource any processing, EIT UM shall be informed by written means of this fact in writing 15 days in advance, and receive an indication of the processing that is intended to be outsourced and identify clearly and unambiguously the subcontractor and its contact details. The outsourcing may be undertaken only if the EIT UM approves it.</w:t>
      </w:r>
      <w:r w:rsidRPr="00ED36B4">
        <w:rPr>
          <w:rFonts w:eastAsia="Times New Roman" w:cs="Calibri Light"/>
          <w:color w:val="auto"/>
          <w:sz w:val="22"/>
          <w:lang w:eastAsia="en-GB"/>
        </w:rPr>
        <w:t> </w:t>
      </w:r>
    </w:p>
    <w:p w14:paraId="14CFD44D"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04104F50" w14:textId="77777777" w:rsidR="00D51839" w:rsidRDefault="00D51839" w:rsidP="00D51839">
      <w:pPr>
        <w:numPr>
          <w:ilvl w:val="0"/>
          <w:numId w:val="221"/>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 xml:space="preserve">The subcontractor, who will also be a processor, shall be obliged to comply with the Data Processor's obligations under this Data Processing Agreement and with any instructions issued by the EIT UM. It is the Data Processor’s responsibility to regulate the new relationship so that the subcontractor may be subject to the same conditions (instructions, obligations, security measures, etc.) and the same formal requirements as the Data Processor regarding the proper processing of Personal Data and the safeguarding of the rights of data subjects. In the event of </w:t>
      </w:r>
      <w:r w:rsidRPr="00ED36B4">
        <w:rPr>
          <w:rFonts w:eastAsia="Times New Roman" w:cs="Calibri Light"/>
          <w:color w:val="auto"/>
          <w:sz w:val="22"/>
          <w:lang w:val="hu-HU" w:eastAsia="en-GB"/>
        </w:rPr>
        <w:lastRenderedPageBreak/>
        <w:t>non-compliance on the part of the subcontractor, the Data Processor will remain fully liable to the EIT UM.</w:t>
      </w:r>
      <w:r w:rsidRPr="00ED36B4">
        <w:rPr>
          <w:rFonts w:eastAsia="Times New Roman" w:cs="Calibri Light"/>
          <w:color w:val="auto"/>
          <w:sz w:val="22"/>
          <w:lang w:eastAsia="en-GB"/>
        </w:rPr>
        <w:t> </w:t>
      </w:r>
    </w:p>
    <w:p w14:paraId="00BF7287"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4B995CF0" w14:textId="77777777" w:rsidR="00D51839" w:rsidRPr="00A71F71" w:rsidRDefault="00D51839" w:rsidP="00D51839">
      <w:pPr>
        <w:numPr>
          <w:ilvl w:val="0"/>
          <w:numId w:val="222"/>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Data Subject Rights</w:t>
      </w:r>
      <w:r w:rsidRPr="00ED36B4">
        <w:rPr>
          <w:rFonts w:eastAsia="Times New Roman" w:cs="Calibri Light"/>
          <w:color w:val="2E74B5"/>
          <w:sz w:val="22"/>
          <w:lang w:eastAsia="en-GB"/>
        </w:rPr>
        <w:t> </w:t>
      </w:r>
    </w:p>
    <w:p w14:paraId="558F505C" w14:textId="77777777" w:rsidR="00D51839" w:rsidRPr="00ED36B4" w:rsidRDefault="00D51839" w:rsidP="00D51839">
      <w:pPr>
        <w:spacing w:after="0" w:line="240" w:lineRule="auto"/>
        <w:ind w:left="1425"/>
        <w:jc w:val="both"/>
        <w:textAlignment w:val="baseline"/>
        <w:rPr>
          <w:rFonts w:eastAsia="Times New Roman" w:cs="Calibri Light"/>
          <w:color w:val="auto"/>
          <w:sz w:val="22"/>
          <w:lang w:eastAsia="en-GB"/>
        </w:rPr>
      </w:pPr>
    </w:p>
    <w:p w14:paraId="760AB14F" w14:textId="77777777" w:rsidR="00D51839" w:rsidRPr="00ED36B4" w:rsidRDefault="00D51839" w:rsidP="00D51839">
      <w:pPr>
        <w:numPr>
          <w:ilvl w:val="0"/>
          <w:numId w:val="223"/>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Taking into account the nature of the processing, the Data Processor shall assist EIT UM by implementing appropriate technical and organizational measures, in so far as this is possible, for the fulfilment of EIT UM’s obligations, as reasonably understood by EIT UM, in responding to the exercise of the rights of:</w:t>
      </w:r>
      <w:r w:rsidRPr="00ED36B4">
        <w:rPr>
          <w:rFonts w:eastAsia="Times New Roman" w:cs="Calibri Light"/>
          <w:color w:val="auto"/>
          <w:sz w:val="22"/>
          <w:lang w:eastAsia="en-GB"/>
        </w:rPr>
        <w:t> </w:t>
      </w:r>
    </w:p>
    <w:p w14:paraId="13412661" w14:textId="77777777" w:rsidR="00D51839" w:rsidRPr="00ED36B4" w:rsidRDefault="00D51839" w:rsidP="00D51839">
      <w:pPr>
        <w:numPr>
          <w:ilvl w:val="0"/>
          <w:numId w:val="224"/>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Access, rectification, erasure and objection.</w:t>
      </w:r>
      <w:r w:rsidRPr="00ED36B4">
        <w:rPr>
          <w:rFonts w:eastAsia="Times New Roman" w:cs="Calibri Light"/>
          <w:color w:val="auto"/>
          <w:sz w:val="22"/>
          <w:lang w:eastAsia="en-GB"/>
        </w:rPr>
        <w:t> </w:t>
      </w:r>
    </w:p>
    <w:p w14:paraId="456A0252" w14:textId="77777777" w:rsidR="00D51839" w:rsidRPr="00ED36B4" w:rsidRDefault="00D51839" w:rsidP="00D51839">
      <w:pPr>
        <w:numPr>
          <w:ilvl w:val="0"/>
          <w:numId w:val="225"/>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Limitation of processing</w:t>
      </w:r>
      <w:r w:rsidRPr="00ED36B4">
        <w:rPr>
          <w:rFonts w:eastAsia="Times New Roman" w:cs="Calibri Light"/>
          <w:color w:val="auto"/>
          <w:sz w:val="22"/>
          <w:lang w:eastAsia="en-GB"/>
        </w:rPr>
        <w:t> </w:t>
      </w:r>
    </w:p>
    <w:p w14:paraId="0EE7EEA4" w14:textId="77777777" w:rsidR="00D51839" w:rsidRPr="00ED36B4" w:rsidRDefault="00D51839" w:rsidP="00D51839">
      <w:pPr>
        <w:numPr>
          <w:ilvl w:val="0"/>
          <w:numId w:val="226"/>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Data portability</w:t>
      </w:r>
      <w:r w:rsidRPr="00ED36B4">
        <w:rPr>
          <w:rFonts w:eastAsia="Times New Roman" w:cs="Calibri Light"/>
          <w:color w:val="auto"/>
          <w:sz w:val="22"/>
          <w:lang w:eastAsia="en-GB"/>
        </w:rPr>
        <w:t> </w:t>
      </w:r>
    </w:p>
    <w:p w14:paraId="72BABDCD" w14:textId="77777777" w:rsidR="00D51839" w:rsidRDefault="00D51839" w:rsidP="00D51839">
      <w:pPr>
        <w:numPr>
          <w:ilvl w:val="0"/>
          <w:numId w:val="227"/>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Not to be subject to automated individualized decisions (including profiling).</w:t>
      </w:r>
      <w:r w:rsidRPr="00ED36B4">
        <w:rPr>
          <w:rFonts w:eastAsia="Times New Roman" w:cs="Calibri Light"/>
          <w:color w:val="auto"/>
          <w:sz w:val="22"/>
          <w:lang w:eastAsia="en-GB"/>
        </w:rPr>
        <w:t> </w:t>
      </w:r>
    </w:p>
    <w:p w14:paraId="01105278" w14:textId="77777777" w:rsidR="00D51839" w:rsidRPr="00ED36B4" w:rsidRDefault="00D51839" w:rsidP="00D51839">
      <w:pPr>
        <w:spacing w:after="0" w:line="240" w:lineRule="auto"/>
        <w:ind w:left="1905"/>
        <w:jc w:val="both"/>
        <w:textAlignment w:val="baseline"/>
        <w:rPr>
          <w:rFonts w:eastAsia="Times New Roman" w:cs="Calibri Light"/>
          <w:color w:val="auto"/>
          <w:sz w:val="22"/>
          <w:lang w:eastAsia="en-GB"/>
        </w:rPr>
      </w:pPr>
    </w:p>
    <w:p w14:paraId="6A3875C5" w14:textId="77777777" w:rsidR="00D51839" w:rsidRPr="00ED36B4" w:rsidRDefault="00D51839" w:rsidP="00D51839">
      <w:pPr>
        <w:numPr>
          <w:ilvl w:val="0"/>
          <w:numId w:val="228"/>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When the data subjects exercise their rights, the Data Processor must communicate this by e-mail to the address indicated by EIT UM. The communication must be made immediately and in no case later than the working day following receipt of the request, together, where appropriate, with other information that may be relevant for resolving the request.</w:t>
      </w:r>
      <w:r w:rsidRPr="00ED36B4">
        <w:rPr>
          <w:rFonts w:eastAsia="Times New Roman" w:cs="Calibri Light"/>
          <w:color w:val="auto"/>
          <w:sz w:val="22"/>
          <w:lang w:eastAsia="en-GB"/>
        </w:rPr>
        <w:t> </w:t>
      </w:r>
    </w:p>
    <w:p w14:paraId="130AFEE8" w14:textId="77777777" w:rsidR="00D51839" w:rsidRPr="00ED36B4" w:rsidRDefault="00D51839" w:rsidP="00D51839">
      <w:pPr>
        <w:spacing w:after="0" w:line="240" w:lineRule="auto"/>
        <w:ind w:left="825" w:right="120"/>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27E1BE49" w14:textId="77777777" w:rsidR="00D51839" w:rsidRPr="00ED36B4" w:rsidRDefault="00D51839" w:rsidP="00D51839">
      <w:pPr>
        <w:numPr>
          <w:ilvl w:val="0"/>
          <w:numId w:val="229"/>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Personal Data Breach</w:t>
      </w:r>
      <w:r w:rsidRPr="00ED36B4">
        <w:rPr>
          <w:rFonts w:eastAsia="Times New Roman" w:cs="Calibri Light"/>
          <w:color w:val="2E74B5"/>
          <w:sz w:val="22"/>
          <w:lang w:eastAsia="en-GB"/>
        </w:rPr>
        <w:t> </w:t>
      </w:r>
    </w:p>
    <w:p w14:paraId="1A4DAC3F" w14:textId="77777777" w:rsidR="00D51839" w:rsidRPr="00ED36B4" w:rsidRDefault="00D51839" w:rsidP="00D51839">
      <w:pPr>
        <w:spacing w:after="0" w:line="240" w:lineRule="auto"/>
        <w:ind w:left="135"/>
        <w:jc w:val="both"/>
        <w:textAlignment w:val="baseline"/>
        <w:rPr>
          <w:rFonts w:ascii="Segoe UI" w:eastAsia="Times New Roman" w:hAnsi="Segoe UI" w:cs="Segoe UI"/>
          <w:color w:val="auto"/>
          <w:sz w:val="18"/>
          <w:szCs w:val="18"/>
          <w:lang w:eastAsia="en-GB"/>
        </w:rPr>
      </w:pPr>
      <w:r w:rsidRPr="00ED36B4">
        <w:rPr>
          <w:rFonts w:eastAsia="Times New Roman" w:cs="Calibri Light"/>
          <w:color w:val="2E74B5"/>
          <w:sz w:val="22"/>
          <w:lang w:eastAsia="en-GB"/>
        </w:rPr>
        <w:t> </w:t>
      </w:r>
    </w:p>
    <w:p w14:paraId="30D5A96E" w14:textId="77777777" w:rsidR="00D51839" w:rsidRPr="00ED36B4" w:rsidRDefault="00D51839" w:rsidP="00D51839">
      <w:pPr>
        <w:numPr>
          <w:ilvl w:val="0"/>
          <w:numId w:val="230"/>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Data Processor shall notify EIT UM without undue delay upon becoming aware of a Personal Data breach affecting EIT UM’s Personal Data, providing EIT UM with sufficient information to allow EIT UM  to meet any obligations to report or inform data subjects of the Personal Data breach under the data protection laws.</w:t>
      </w:r>
      <w:r w:rsidRPr="00ED36B4">
        <w:rPr>
          <w:rFonts w:eastAsia="Times New Roman" w:cs="Calibri Light"/>
          <w:color w:val="auto"/>
          <w:sz w:val="22"/>
          <w:lang w:eastAsia="en-GB"/>
        </w:rPr>
        <w:t> </w:t>
      </w:r>
    </w:p>
    <w:p w14:paraId="0FD1B1D0" w14:textId="77777777" w:rsidR="00D51839" w:rsidRPr="00ED36B4" w:rsidRDefault="00D51839" w:rsidP="00D51839">
      <w:pPr>
        <w:spacing w:after="0" w:line="240" w:lineRule="auto"/>
        <w:ind w:left="150" w:right="13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7A9F2BA9" w14:textId="77777777" w:rsidR="00D51839" w:rsidRPr="00ED36B4" w:rsidRDefault="00D51839" w:rsidP="00D51839">
      <w:pPr>
        <w:numPr>
          <w:ilvl w:val="0"/>
          <w:numId w:val="231"/>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Data Processor shall co-operate with EIT UM and take reasonable commercial steps as are directed by EIT UM to assist in the investigation, mitigation and remediation of each such Personal Data breach.</w:t>
      </w:r>
      <w:r w:rsidRPr="00ED36B4">
        <w:rPr>
          <w:rFonts w:eastAsia="Times New Roman" w:cs="Calibri Light"/>
          <w:color w:val="auto"/>
          <w:sz w:val="22"/>
          <w:lang w:eastAsia="en-GB"/>
        </w:rPr>
        <w:t> </w:t>
      </w:r>
    </w:p>
    <w:p w14:paraId="475AEDF3" w14:textId="77777777" w:rsidR="00D51839" w:rsidRPr="00ED36B4" w:rsidRDefault="00D51839" w:rsidP="00D51839">
      <w:pPr>
        <w:spacing w:after="0" w:line="240" w:lineRule="auto"/>
        <w:ind w:left="825" w:right="120"/>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0667715A" w14:textId="77777777" w:rsidR="00D51839" w:rsidRPr="00ED36B4" w:rsidRDefault="00D51839" w:rsidP="00D51839">
      <w:pPr>
        <w:numPr>
          <w:ilvl w:val="0"/>
          <w:numId w:val="232"/>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If available, the following information, as a minimum, shall be provided:</w:t>
      </w:r>
      <w:r w:rsidRPr="00ED36B4">
        <w:rPr>
          <w:rFonts w:eastAsia="Times New Roman" w:cs="Calibri Light"/>
          <w:color w:val="auto"/>
          <w:sz w:val="22"/>
          <w:lang w:eastAsia="en-GB"/>
        </w:rPr>
        <w:t> </w:t>
      </w:r>
    </w:p>
    <w:p w14:paraId="497436A7" w14:textId="77777777" w:rsidR="00D51839" w:rsidRPr="00ED36B4" w:rsidRDefault="00D51839" w:rsidP="00D51839">
      <w:pPr>
        <w:numPr>
          <w:ilvl w:val="0"/>
          <w:numId w:val="233"/>
        </w:numPr>
        <w:spacing w:after="0" w:line="240" w:lineRule="auto"/>
        <w:ind w:left="163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Description of the nature of the Personal Data breach, including, where possible, the categories and approximate number of data subjects affected;</w:t>
      </w:r>
      <w:r w:rsidRPr="00ED36B4">
        <w:rPr>
          <w:rFonts w:eastAsia="Times New Roman" w:cs="Calibri Light"/>
          <w:color w:val="auto"/>
          <w:sz w:val="22"/>
          <w:lang w:eastAsia="en-GB"/>
        </w:rPr>
        <w:t> </w:t>
      </w:r>
    </w:p>
    <w:p w14:paraId="0A617DE9" w14:textId="77777777" w:rsidR="00D51839" w:rsidRPr="00ED36B4" w:rsidRDefault="00D51839" w:rsidP="00D51839">
      <w:pPr>
        <w:numPr>
          <w:ilvl w:val="0"/>
          <w:numId w:val="234"/>
        </w:numPr>
        <w:spacing w:after="0" w:line="240" w:lineRule="auto"/>
        <w:ind w:left="163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name and contact details of the data protection officer or other point of contact from whom further information may be obtained;</w:t>
      </w:r>
      <w:r w:rsidRPr="00ED36B4">
        <w:rPr>
          <w:rFonts w:eastAsia="Times New Roman" w:cs="Calibri Light"/>
          <w:color w:val="auto"/>
          <w:sz w:val="22"/>
          <w:lang w:eastAsia="en-GB"/>
        </w:rPr>
        <w:t> </w:t>
      </w:r>
    </w:p>
    <w:p w14:paraId="592813EF" w14:textId="77777777" w:rsidR="00D51839" w:rsidRPr="00ED36B4" w:rsidRDefault="00D51839" w:rsidP="00D51839">
      <w:pPr>
        <w:numPr>
          <w:ilvl w:val="0"/>
          <w:numId w:val="235"/>
        </w:numPr>
        <w:spacing w:after="0" w:line="240" w:lineRule="auto"/>
        <w:ind w:left="163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Description of the possible consequences of the Personal Data breach;</w:t>
      </w:r>
      <w:r w:rsidRPr="00ED36B4">
        <w:rPr>
          <w:rFonts w:eastAsia="Times New Roman" w:cs="Calibri Light"/>
          <w:color w:val="auto"/>
          <w:sz w:val="22"/>
          <w:lang w:eastAsia="en-GB"/>
        </w:rPr>
        <w:t> </w:t>
      </w:r>
    </w:p>
    <w:p w14:paraId="71918BD1" w14:textId="77777777" w:rsidR="00D51839" w:rsidRDefault="00D51839" w:rsidP="00D51839">
      <w:pPr>
        <w:numPr>
          <w:ilvl w:val="0"/>
          <w:numId w:val="236"/>
        </w:numPr>
        <w:spacing w:after="0" w:line="240" w:lineRule="auto"/>
        <w:ind w:left="163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Description of the measures taken or proposed to be taken to remedy the Personal Data breach, including, where appropriate, the measures to mitigate the possible negative effects;</w:t>
      </w:r>
      <w:r w:rsidRPr="00ED36B4">
        <w:rPr>
          <w:rFonts w:eastAsia="Times New Roman" w:cs="Calibri Light"/>
          <w:color w:val="auto"/>
          <w:sz w:val="22"/>
          <w:lang w:eastAsia="en-GB"/>
        </w:rPr>
        <w:t> </w:t>
      </w:r>
    </w:p>
    <w:p w14:paraId="77ADC284" w14:textId="77777777" w:rsidR="00D51839" w:rsidRPr="00ED36B4" w:rsidRDefault="00D51839" w:rsidP="00D51839">
      <w:pPr>
        <w:spacing w:after="0" w:line="240" w:lineRule="auto"/>
        <w:ind w:left="1635"/>
        <w:jc w:val="both"/>
        <w:textAlignment w:val="baseline"/>
        <w:rPr>
          <w:rFonts w:eastAsia="Times New Roman" w:cs="Calibri Light"/>
          <w:color w:val="auto"/>
          <w:sz w:val="22"/>
          <w:lang w:eastAsia="en-GB"/>
        </w:rPr>
      </w:pPr>
    </w:p>
    <w:p w14:paraId="600C29E1" w14:textId="77777777" w:rsidR="00D51839" w:rsidRDefault="00D51839" w:rsidP="00D51839">
      <w:pPr>
        <w:spacing w:after="0" w:line="240" w:lineRule="auto"/>
        <w:ind w:left="915"/>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If and to the extent that it is not possible to provide the information at the same time, the information shall be provided in a phased manner without undue delay.</w:t>
      </w:r>
      <w:r w:rsidRPr="00ED36B4">
        <w:rPr>
          <w:rFonts w:eastAsia="Times New Roman" w:cs="Calibri Light"/>
          <w:color w:val="auto"/>
          <w:sz w:val="22"/>
          <w:lang w:eastAsia="en-GB"/>
        </w:rPr>
        <w:t> </w:t>
      </w:r>
    </w:p>
    <w:p w14:paraId="4DAF742E" w14:textId="77777777" w:rsidR="00D51839" w:rsidRPr="00ED36B4" w:rsidRDefault="00D51839" w:rsidP="00D51839">
      <w:pPr>
        <w:spacing w:after="0" w:line="240" w:lineRule="auto"/>
        <w:ind w:left="915"/>
        <w:jc w:val="both"/>
        <w:textAlignment w:val="baseline"/>
        <w:rPr>
          <w:rFonts w:ascii="Segoe UI" w:eastAsia="Times New Roman" w:hAnsi="Segoe UI" w:cs="Segoe UI"/>
          <w:color w:val="auto"/>
          <w:sz w:val="18"/>
          <w:szCs w:val="18"/>
          <w:lang w:eastAsia="en-GB"/>
        </w:rPr>
      </w:pPr>
    </w:p>
    <w:p w14:paraId="5F08E193" w14:textId="77777777" w:rsidR="00D51839" w:rsidRPr="00ED36B4" w:rsidRDefault="00D51839" w:rsidP="00D51839">
      <w:pPr>
        <w:numPr>
          <w:ilvl w:val="0"/>
          <w:numId w:val="237"/>
        </w:numPr>
        <w:spacing w:after="0" w:line="240" w:lineRule="auto"/>
        <w:ind w:left="855" w:firstLine="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Data Protection Impact Assessment and Prior Consultation</w:t>
      </w:r>
      <w:r w:rsidRPr="00ED36B4">
        <w:rPr>
          <w:rFonts w:eastAsia="Times New Roman" w:cs="Calibri Light"/>
          <w:color w:val="2E74B5"/>
          <w:sz w:val="22"/>
          <w:lang w:eastAsia="en-GB"/>
        </w:rPr>
        <w:t> </w:t>
      </w:r>
    </w:p>
    <w:p w14:paraId="72C2AE93" w14:textId="77777777" w:rsidR="00D51839" w:rsidRPr="00ED36B4" w:rsidRDefault="00D51839" w:rsidP="00D51839">
      <w:pPr>
        <w:spacing w:after="0" w:line="240" w:lineRule="auto"/>
        <w:ind w:left="840"/>
        <w:jc w:val="both"/>
        <w:textAlignment w:val="baseline"/>
        <w:rPr>
          <w:rFonts w:ascii="Segoe UI" w:eastAsia="Times New Roman" w:hAnsi="Segoe UI" w:cs="Segoe UI"/>
          <w:color w:val="auto"/>
          <w:sz w:val="18"/>
          <w:szCs w:val="18"/>
          <w:lang w:eastAsia="en-GB"/>
        </w:rPr>
      </w:pPr>
      <w:r w:rsidRPr="00ED36B4">
        <w:rPr>
          <w:rFonts w:eastAsia="Times New Roman" w:cs="Calibri Light"/>
          <w:color w:val="2E74B5"/>
          <w:sz w:val="22"/>
          <w:lang w:eastAsia="en-GB"/>
        </w:rPr>
        <w:t> </w:t>
      </w:r>
    </w:p>
    <w:p w14:paraId="31B02601" w14:textId="77777777" w:rsidR="00D51839" w:rsidRDefault="00D51839" w:rsidP="00D51839">
      <w:pPr>
        <w:numPr>
          <w:ilvl w:val="0"/>
          <w:numId w:val="238"/>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lastRenderedPageBreak/>
        <w:t>The Data Processor shall provide reasonable assistance to EIT UM with any data protection impact assessments, and prior consultations with supervising authorities or other competent data privacy authorities, which  EIT UM reasonably considers to be required by article 35 or 36 of the GDPR or equivalent provisions of any other data protection law, in each case solely in relation to processing of EIT UM’s Personal Data by, and taking into account the nature of the processing and information available  to the subcontractors.</w:t>
      </w:r>
      <w:r w:rsidRPr="00ED36B4">
        <w:rPr>
          <w:rFonts w:eastAsia="Times New Roman" w:cs="Calibri Light"/>
          <w:color w:val="auto"/>
          <w:sz w:val="22"/>
          <w:lang w:eastAsia="en-GB"/>
        </w:rPr>
        <w:t> </w:t>
      </w:r>
    </w:p>
    <w:p w14:paraId="4DAEBDB8"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43B10F04" w14:textId="77777777" w:rsidR="00D51839" w:rsidRPr="00A71F71" w:rsidRDefault="00D51839" w:rsidP="00D51839">
      <w:pPr>
        <w:numPr>
          <w:ilvl w:val="0"/>
          <w:numId w:val="239"/>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  Deletion or return of EIT UM’s Personal Data</w:t>
      </w:r>
      <w:r w:rsidRPr="00ED36B4">
        <w:rPr>
          <w:rFonts w:eastAsia="Times New Roman" w:cs="Calibri Light"/>
          <w:color w:val="2E74B5"/>
          <w:sz w:val="22"/>
          <w:lang w:eastAsia="en-GB"/>
        </w:rPr>
        <w:t> </w:t>
      </w:r>
    </w:p>
    <w:p w14:paraId="7A99D7C1" w14:textId="77777777" w:rsidR="00D51839" w:rsidRPr="00ED36B4" w:rsidRDefault="00D51839" w:rsidP="00D51839">
      <w:pPr>
        <w:spacing w:after="0" w:line="240" w:lineRule="auto"/>
        <w:ind w:left="1425"/>
        <w:jc w:val="both"/>
        <w:textAlignment w:val="baseline"/>
        <w:rPr>
          <w:rFonts w:eastAsia="Times New Roman" w:cs="Calibri Light"/>
          <w:color w:val="auto"/>
          <w:sz w:val="22"/>
          <w:lang w:eastAsia="en-GB"/>
        </w:rPr>
      </w:pPr>
    </w:p>
    <w:p w14:paraId="7AF6F601" w14:textId="77777777" w:rsidR="00D51839" w:rsidRDefault="00D51839" w:rsidP="00D51839">
      <w:pPr>
        <w:numPr>
          <w:ilvl w:val="0"/>
          <w:numId w:val="240"/>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Processor shall promptly and in any event within 10 business days of the date of cessation of any services involving the processing of EIT UM’s Personal Data, delete and  procure the deletion of all copies of those EIT UM’s Personal Data. </w:t>
      </w:r>
      <w:r w:rsidRPr="00ED36B4">
        <w:rPr>
          <w:rFonts w:eastAsia="Times New Roman" w:cs="Calibri Light"/>
          <w:color w:val="auto"/>
          <w:sz w:val="22"/>
          <w:lang w:eastAsia="en-GB"/>
        </w:rPr>
        <w:t> </w:t>
      </w:r>
    </w:p>
    <w:p w14:paraId="6F487DF8"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4B158BCE" w14:textId="77777777" w:rsidR="00D51839" w:rsidRPr="00ED36B4" w:rsidRDefault="00D51839" w:rsidP="00D51839">
      <w:pPr>
        <w:numPr>
          <w:ilvl w:val="0"/>
          <w:numId w:val="241"/>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However, the Processor may keep a copy of the data, with the data duly blocked, for as long as liability may arise from the performance of the service.</w:t>
      </w:r>
      <w:r w:rsidRPr="00ED36B4">
        <w:rPr>
          <w:rFonts w:eastAsia="Times New Roman" w:cs="Calibri Light"/>
          <w:color w:val="auto"/>
          <w:sz w:val="22"/>
          <w:lang w:eastAsia="en-GB"/>
        </w:rPr>
        <w:t> </w:t>
      </w:r>
    </w:p>
    <w:p w14:paraId="14A1294B"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05B9D25B" w14:textId="77777777" w:rsidR="00D51839" w:rsidRPr="00ED36B4" w:rsidRDefault="00D51839" w:rsidP="00D51839">
      <w:pPr>
        <w:numPr>
          <w:ilvl w:val="0"/>
          <w:numId w:val="242"/>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Processor shall provide written certification to EIT UM that it has fully complied with this section 9 within 10 business days of the cessation date.</w:t>
      </w:r>
      <w:r w:rsidRPr="00ED36B4">
        <w:rPr>
          <w:rFonts w:eastAsia="Times New Roman" w:cs="Calibri Light"/>
          <w:color w:val="auto"/>
          <w:sz w:val="22"/>
          <w:lang w:eastAsia="en-GB"/>
        </w:rPr>
        <w:t> </w:t>
      </w:r>
    </w:p>
    <w:p w14:paraId="44C791B3"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372D530C" w14:textId="77777777" w:rsidR="00D51839" w:rsidRPr="00ED36B4" w:rsidRDefault="00D51839" w:rsidP="00D51839">
      <w:pPr>
        <w:numPr>
          <w:ilvl w:val="0"/>
          <w:numId w:val="243"/>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Audit rights</w:t>
      </w:r>
      <w:r w:rsidRPr="00ED36B4">
        <w:rPr>
          <w:rFonts w:eastAsia="Times New Roman" w:cs="Calibri Light"/>
          <w:color w:val="2E74B5"/>
          <w:sz w:val="22"/>
          <w:lang w:eastAsia="en-GB"/>
        </w:rPr>
        <w:t> </w:t>
      </w:r>
    </w:p>
    <w:p w14:paraId="60D7D716" w14:textId="77777777" w:rsidR="00D51839" w:rsidRPr="00ED36B4" w:rsidRDefault="00D51839" w:rsidP="00D51839">
      <w:pPr>
        <w:spacing w:after="0" w:line="240" w:lineRule="auto"/>
        <w:ind w:left="840"/>
        <w:jc w:val="both"/>
        <w:textAlignment w:val="baseline"/>
        <w:rPr>
          <w:rFonts w:ascii="Segoe UI" w:eastAsia="Times New Roman" w:hAnsi="Segoe UI" w:cs="Segoe UI"/>
          <w:color w:val="auto"/>
          <w:sz w:val="18"/>
          <w:szCs w:val="18"/>
          <w:lang w:eastAsia="en-GB"/>
        </w:rPr>
      </w:pPr>
      <w:r w:rsidRPr="00ED36B4">
        <w:rPr>
          <w:rFonts w:eastAsia="Times New Roman" w:cs="Calibri Light"/>
          <w:color w:val="2E74B5"/>
          <w:sz w:val="22"/>
          <w:lang w:eastAsia="en-GB"/>
        </w:rPr>
        <w:t> </w:t>
      </w:r>
    </w:p>
    <w:p w14:paraId="53635E21" w14:textId="77777777" w:rsidR="00D51839" w:rsidRDefault="00D51839" w:rsidP="00D51839">
      <w:pPr>
        <w:numPr>
          <w:ilvl w:val="0"/>
          <w:numId w:val="244"/>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Data Processor shall make available to EIT UM, upon request, all information necessary to demonstrate compliance with this Data Processing Agreement and shall allow and contribute to audits, including inspections, by EIT UM or an auditor mandated by EIT UM in relation to the processing of EIT UM’s Personal Data.</w:t>
      </w:r>
      <w:r w:rsidRPr="00ED36B4">
        <w:rPr>
          <w:rFonts w:eastAsia="Times New Roman" w:cs="Calibri Light"/>
          <w:color w:val="auto"/>
          <w:sz w:val="22"/>
          <w:lang w:eastAsia="en-GB"/>
        </w:rPr>
        <w:t> </w:t>
      </w:r>
    </w:p>
    <w:p w14:paraId="261EEA7C"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0B16705D" w14:textId="77777777" w:rsidR="00D51839" w:rsidRPr="00ED36B4" w:rsidRDefault="00D51839" w:rsidP="00D51839">
      <w:pPr>
        <w:numPr>
          <w:ilvl w:val="0"/>
          <w:numId w:val="24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Data Transfer</w:t>
      </w:r>
      <w:r w:rsidRPr="00ED36B4">
        <w:rPr>
          <w:rFonts w:eastAsia="Times New Roman" w:cs="Calibri Light"/>
          <w:color w:val="2E74B5"/>
          <w:sz w:val="22"/>
          <w:lang w:eastAsia="en-GB"/>
        </w:rPr>
        <w:t> </w:t>
      </w:r>
    </w:p>
    <w:p w14:paraId="76E1670A" w14:textId="77777777" w:rsidR="00D51839" w:rsidRPr="00ED36B4" w:rsidRDefault="00D51839" w:rsidP="00D51839">
      <w:pPr>
        <w:spacing w:after="0" w:line="240" w:lineRule="auto"/>
        <w:ind w:left="720"/>
        <w:jc w:val="both"/>
        <w:textAlignment w:val="baseline"/>
        <w:rPr>
          <w:rFonts w:ascii="Segoe UI" w:eastAsia="Times New Roman" w:hAnsi="Segoe UI" w:cs="Segoe UI"/>
          <w:color w:val="auto"/>
          <w:sz w:val="18"/>
          <w:szCs w:val="18"/>
          <w:lang w:eastAsia="en-GB"/>
        </w:rPr>
      </w:pPr>
      <w:r w:rsidRPr="00ED36B4">
        <w:rPr>
          <w:rFonts w:eastAsia="Times New Roman" w:cs="Calibri Light"/>
          <w:color w:val="2E74B5"/>
          <w:sz w:val="22"/>
          <w:lang w:eastAsia="en-GB"/>
        </w:rPr>
        <w:t> </w:t>
      </w:r>
    </w:p>
    <w:p w14:paraId="403AE0DF" w14:textId="77777777" w:rsidR="00D51839" w:rsidRDefault="00D51839" w:rsidP="00D51839">
      <w:pPr>
        <w:numPr>
          <w:ilvl w:val="0"/>
          <w:numId w:val="246"/>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Data Processor may not transfer or authorize the transfer of Personal Data to countries outside the EU and/or the European Economic Area (EEA)  without the prior written consent of EIT UM. If Personal Data processed under this Data Processing Agreement is transferred from a country within the European Economic Area to a country outside the European Economic Area, the Parties shall ensure that the Personal Data are adequately protected. To achieve this, the Parties shall, unless agreed otherwise, rely on EU approved standard contractual clauses for the transfer of Personal Data.</w:t>
      </w:r>
      <w:r w:rsidRPr="00ED36B4">
        <w:rPr>
          <w:rFonts w:eastAsia="Times New Roman" w:cs="Calibri Light"/>
          <w:color w:val="auto"/>
          <w:sz w:val="22"/>
          <w:lang w:eastAsia="en-GB"/>
        </w:rPr>
        <w:t> </w:t>
      </w:r>
    </w:p>
    <w:p w14:paraId="2DD196C4"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5C91A92E" w14:textId="77777777" w:rsidR="00D51839" w:rsidRPr="00A71F71" w:rsidRDefault="00D51839" w:rsidP="00D51839">
      <w:pPr>
        <w:numPr>
          <w:ilvl w:val="0"/>
          <w:numId w:val="247"/>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General Terms</w:t>
      </w:r>
      <w:r w:rsidRPr="00ED36B4">
        <w:rPr>
          <w:rFonts w:eastAsia="Times New Roman" w:cs="Calibri Light"/>
          <w:color w:val="2E74B5"/>
          <w:sz w:val="22"/>
          <w:lang w:eastAsia="en-GB"/>
        </w:rPr>
        <w:t> </w:t>
      </w:r>
    </w:p>
    <w:p w14:paraId="5B142A98"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FB2DDBD" w14:textId="77777777" w:rsidR="00D51839" w:rsidRPr="00ED36B4" w:rsidRDefault="00D51839" w:rsidP="00D51839">
      <w:pPr>
        <w:numPr>
          <w:ilvl w:val="0"/>
          <w:numId w:val="248"/>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Confidentiality. Each Party must keep this Data Processing Agreement and the information it  receives about the other Party and its business in connection with this Data Processing Agreement confidential and must not use or disclose that confidential information without the prior written consent  of the other Party except to the extent that:</w:t>
      </w:r>
      <w:r w:rsidRPr="00ED36B4">
        <w:rPr>
          <w:rFonts w:eastAsia="Times New Roman" w:cs="Calibri Light"/>
          <w:color w:val="auto"/>
          <w:sz w:val="22"/>
          <w:lang w:eastAsia="en-GB"/>
        </w:rPr>
        <w:t> </w:t>
      </w:r>
    </w:p>
    <w:p w14:paraId="7BF1714D" w14:textId="77777777" w:rsidR="00D51839" w:rsidRPr="00ED36B4" w:rsidRDefault="00D51839" w:rsidP="00D51839">
      <w:pPr>
        <w:numPr>
          <w:ilvl w:val="0"/>
          <w:numId w:val="249"/>
        </w:numPr>
        <w:spacing w:after="0" w:line="240" w:lineRule="auto"/>
        <w:ind w:left="16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disclosure is required by law;</w:t>
      </w:r>
      <w:r w:rsidRPr="00ED36B4">
        <w:rPr>
          <w:rFonts w:eastAsia="Times New Roman" w:cs="Calibri Light"/>
          <w:color w:val="auto"/>
          <w:sz w:val="22"/>
          <w:lang w:eastAsia="en-GB"/>
        </w:rPr>
        <w:t> </w:t>
      </w:r>
    </w:p>
    <w:p w14:paraId="78948869" w14:textId="77777777" w:rsidR="00D51839" w:rsidRDefault="00D51839" w:rsidP="00D51839">
      <w:pPr>
        <w:numPr>
          <w:ilvl w:val="0"/>
          <w:numId w:val="250"/>
        </w:numPr>
        <w:spacing w:after="0" w:line="240" w:lineRule="auto"/>
        <w:ind w:left="16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relevant information is already in the public domain.</w:t>
      </w:r>
      <w:r w:rsidRPr="00ED36B4">
        <w:rPr>
          <w:rFonts w:eastAsia="Times New Roman" w:cs="Calibri Light"/>
          <w:color w:val="auto"/>
          <w:sz w:val="22"/>
          <w:lang w:eastAsia="en-GB"/>
        </w:rPr>
        <w:t> </w:t>
      </w:r>
    </w:p>
    <w:p w14:paraId="754224A5" w14:textId="77777777" w:rsidR="00D51839" w:rsidRPr="00ED36B4" w:rsidRDefault="00D51839" w:rsidP="00D51839">
      <w:pPr>
        <w:spacing w:after="0" w:line="240" w:lineRule="auto"/>
        <w:ind w:left="1605"/>
        <w:jc w:val="both"/>
        <w:textAlignment w:val="baseline"/>
        <w:rPr>
          <w:rFonts w:eastAsia="Times New Roman" w:cs="Calibri Light"/>
          <w:color w:val="auto"/>
          <w:sz w:val="22"/>
          <w:lang w:eastAsia="en-GB"/>
        </w:rPr>
      </w:pPr>
    </w:p>
    <w:p w14:paraId="0584BB91" w14:textId="77777777" w:rsidR="00D51839" w:rsidRDefault="00D51839" w:rsidP="00D51839">
      <w:pPr>
        <w:numPr>
          <w:ilvl w:val="0"/>
          <w:numId w:val="251"/>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lastRenderedPageBreak/>
        <w:t>Notices.</w:t>
      </w:r>
      <w:r w:rsidRPr="00ED36B4">
        <w:rPr>
          <w:rFonts w:eastAsia="Times New Roman" w:cs="Calibri Light"/>
          <w:b/>
          <w:bCs/>
          <w:color w:val="auto"/>
          <w:sz w:val="22"/>
          <w:lang w:val="hu-HU" w:eastAsia="en-GB"/>
        </w:rPr>
        <w:t xml:space="preserve"> </w:t>
      </w:r>
      <w:r w:rsidRPr="00ED36B4">
        <w:rPr>
          <w:rFonts w:eastAsia="Times New Roman" w:cs="Calibri Light"/>
          <w:color w:val="auto"/>
          <w:sz w:val="22"/>
          <w:lang w:val="hu-HU" w:eastAsia="en-GB"/>
        </w:rPr>
        <w:t>All notices and communications given under this Data Processing Agreement must be in writing and will be delivered personally, sent by email to the email address set out in the Agreement.</w:t>
      </w:r>
      <w:r w:rsidRPr="00ED36B4">
        <w:rPr>
          <w:rFonts w:eastAsia="Times New Roman" w:cs="Calibri Light"/>
          <w:color w:val="auto"/>
          <w:sz w:val="22"/>
          <w:lang w:eastAsia="en-GB"/>
        </w:rPr>
        <w:t> </w:t>
      </w:r>
    </w:p>
    <w:p w14:paraId="501C5343"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1ABC6C0A"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39F98584"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42B04251"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65BF6763"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1FB47267"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4C78FCCB"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6565C698"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3C2236EE"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7238B393"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3D60126C"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51A6DAAF"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35EE66DD"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3D875409"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6E10AA5A"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6E35CD19"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1EFBC768"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56F58C54"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3CAEF5C6"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659F9978"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4F6C47E6"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485C2DDF"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47877E91"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4EF8CA21"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7A3244B1"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1F396221"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0F8CFCF9"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39FB84F1"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74DCDD38"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51A538E7"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67845038"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42B5276C"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7AFB6E71"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27606853"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63253548"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51C5ABA0"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281756BD"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7339F002"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3400CA8E"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261E6A4C"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48AFE751"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7251BF82"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652A3609"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69B303E9" w14:textId="77777777" w:rsidR="00D51839" w:rsidRDefault="00D51839" w:rsidP="00D51839">
      <w:pPr>
        <w:spacing w:after="0" w:line="240" w:lineRule="auto"/>
        <w:jc w:val="center"/>
        <w:textAlignment w:val="baseline"/>
        <w:rPr>
          <w:rFonts w:eastAsia="Times New Roman" w:cs="Calibri Light"/>
          <w:color w:val="2E74B5"/>
          <w:sz w:val="22"/>
          <w:lang w:eastAsia="en-GB"/>
        </w:rPr>
      </w:pPr>
      <w:r w:rsidRPr="00ED36B4">
        <w:rPr>
          <w:rFonts w:eastAsia="Times New Roman" w:cs="Calibri Light"/>
          <w:b/>
          <w:bCs/>
          <w:color w:val="2E74B5"/>
          <w:sz w:val="22"/>
          <w:u w:val="single"/>
          <w:lang w:val="hu-HU" w:eastAsia="en-GB"/>
        </w:rPr>
        <w:lastRenderedPageBreak/>
        <w:t>Exhibit A</w:t>
      </w:r>
      <w:r w:rsidRPr="00ED36B4">
        <w:rPr>
          <w:rFonts w:eastAsia="Times New Roman" w:cs="Calibri Light"/>
          <w:color w:val="2E74B5"/>
          <w:sz w:val="22"/>
          <w:lang w:eastAsia="en-GB"/>
        </w:rPr>
        <w:t> </w:t>
      </w:r>
    </w:p>
    <w:p w14:paraId="13A9E1EE" w14:textId="77777777" w:rsidR="00D51839" w:rsidRPr="00ED36B4" w:rsidRDefault="00D51839" w:rsidP="00D51839">
      <w:pPr>
        <w:spacing w:after="0" w:line="240" w:lineRule="auto"/>
        <w:jc w:val="center"/>
        <w:textAlignment w:val="baseline"/>
        <w:rPr>
          <w:rFonts w:ascii="Segoe UI" w:eastAsia="Times New Roman" w:hAnsi="Segoe UI" w:cs="Segoe UI"/>
          <w:color w:val="auto"/>
          <w:sz w:val="18"/>
          <w:szCs w:val="18"/>
          <w:lang w:eastAsia="en-GB"/>
        </w:rPr>
      </w:pPr>
    </w:p>
    <w:p w14:paraId="774D2A98" w14:textId="77777777" w:rsidR="00D51839" w:rsidRPr="00A71F71" w:rsidRDefault="00D51839" w:rsidP="00D51839">
      <w:pPr>
        <w:numPr>
          <w:ilvl w:val="0"/>
          <w:numId w:val="252"/>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b/>
          <w:bCs/>
          <w:color w:val="4472C4"/>
          <w:sz w:val="22"/>
          <w:lang w:val="hu-HU" w:eastAsia="en-GB"/>
        </w:rPr>
        <w:t>Description of Personal Data processin</w:t>
      </w:r>
      <w:r>
        <w:rPr>
          <w:rFonts w:eastAsia="Times New Roman" w:cs="Calibri Light"/>
          <w:b/>
          <w:bCs/>
          <w:color w:val="4472C4"/>
          <w:sz w:val="22"/>
          <w:lang w:val="hu-HU" w:eastAsia="en-GB"/>
        </w:rPr>
        <w:t>g</w:t>
      </w:r>
    </w:p>
    <w:p w14:paraId="6667FFD4" w14:textId="77777777" w:rsidR="00D51839" w:rsidRPr="00A71F71" w:rsidRDefault="00D51839" w:rsidP="00D51839">
      <w:pPr>
        <w:spacing w:after="0" w:line="240" w:lineRule="auto"/>
        <w:ind w:left="1080"/>
        <w:jc w:val="both"/>
        <w:textAlignment w:val="baseline"/>
        <w:rPr>
          <w:rFonts w:eastAsia="Times New Roman" w:cs="Calibri Light"/>
          <w:color w:val="auto"/>
          <w:sz w:val="22"/>
          <w:lang w:eastAsia="en-GB"/>
        </w:rPr>
      </w:pPr>
    </w:p>
    <w:p w14:paraId="3ECE5689" w14:textId="77777777" w:rsidR="00D51839" w:rsidRDefault="00D51839" w:rsidP="00D51839">
      <w:pPr>
        <w:numPr>
          <w:ilvl w:val="0"/>
          <w:numId w:val="253"/>
        </w:numPr>
        <w:spacing w:after="0" w:line="240" w:lineRule="auto"/>
        <w:ind w:left="141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 xml:space="preserve">The Data Processor is enabled to process on behalf of EIT UM, the Personal Data necessary to provide the services </w:t>
      </w:r>
      <w:r w:rsidRPr="00ED36B4">
        <w:rPr>
          <w:rFonts w:eastAsia="Times New Roman" w:cs="Calibri Light"/>
          <w:b/>
          <w:bCs/>
          <w:color w:val="auto"/>
          <w:sz w:val="22"/>
          <w:lang w:eastAsia="en-GB"/>
        </w:rPr>
        <w:t>described in clause 1.3 of the Agreement.</w:t>
      </w:r>
      <w:r w:rsidRPr="00ED36B4">
        <w:rPr>
          <w:rFonts w:eastAsia="Times New Roman" w:cs="Calibri Light"/>
          <w:color w:val="auto"/>
          <w:sz w:val="22"/>
          <w:lang w:eastAsia="en-GB"/>
        </w:rPr>
        <w:t> </w:t>
      </w:r>
    </w:p>
    <w:p w14:paraId="0CDA9C8A" w14:textId="77777777" w:rsidR="00D51839" w:rsidRPr="00ED36B4" w:rsidRDefault="00D51839" w:rsidP="00D51839">
      <w:pPr>
        <w:spacing w:after="0" w:line="240" w:lineRule="auto"/>
        <w:ind w:left="1410"/>
        <w:jc w:val="both"/>
        <w:textAlignment w:val="baseline"/>
        <w:rPr>
          <w:rFonts w:eastAsia="Times New Roman" w:cs="Calibri Light"/>
          <w:color w:val="auto"/>
          <w:sz w:val="22"/>
          <w:lang w:eastAsia="en-GB"/>
        </w:rPr>
      </w:pPr>
    </w:p>
    <w:p w14:paraId="39B41AA6" w14:textId="77777777" w:rsidR="00D51839" w:rsidRDefault="00D51839" w:rsidP="00D51839">
      <w:pPr>
        <w:numPr>
          <w:ilvl w:val="0"/>
          <w:numId w:val="254"/>
        </w:numPr>
        <w:spacing w:after="0" w:line="240" w:lineRule="auto"/>
        <w:ind w:left="141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processing will consist of: </w:t>
      </w:r>
      <w:r w:rsidRPr="00ED36B4">
        <w:rPr>
          <w:rFonts w:eastAsia="Times New Roman" w:cs="Calibri Light"/>
          <w:color w:val="auto"/>
          <w:sz w:val="22"/>
          <w:lang w:eastAsia="en-GB"/>
        </w:rPr>
        <w:t> </w:t>
      </w:r>
    </w:p>
    <w:p w14:paraId="4D6F14D7" w14:textId="77777777" w:rsidR="00D51839" w:rsidRPr="00ED36B4" w:rsidRDefault="00D51839" w:rsidP="00D51839">
      <w:pPr>
        <w:spacing w:after="0" w:line="240" w:lineRule="auto"/>
        <w:ind w:left="1410"/>
        <w:jc w:val="both"/>
        <w:textAlignment w:val="baseline"/>
        <w:rPr>
          <w:rFonts w:eastAsia="Times New Roman" w:cs="Calibri Light"/>
          <w:color w:val="auto"/>
          <w:sz w:val="22"/>
          <w:lang w:eastAsia="en-GB"/>
        </w:rPr>
      </w:pPr>
    </w:p>
    <w:p w14:paraId="397F6156" w14:textId="77777777" w:rsidR="00D51839" w:rsidRPr="00ED36B4" w:rsidRDefault="00D51839" w:rsidP="00D51839">
      <w:pPr>
        <w:spacing w:after="0" w:line="240" w:lineRule="auto"/>
        <w:ind w:left="2127"/>
        <w:jc w:val="both"/>
        <w:textAlignment w:val="baseline"/>
        <w:rPr>
          <w:rFonts w:ascii="Segoe UI" w:eastAsia="Times New Roman" w:hAnsi="Segoe UI" w:cs="Segoe UI"/>
          <w:color w:val="auto"/>
          <w:sz w:val="18"/>
          <w:szCs w:val="18"/>
          <w:lang w:eastAsia="en-GB"/>
        </w:rPr>
      </w:pPr>
      <w:r w:rsidRPr="00ED36B4">
        <w:rPr>
          <w:rFonts w:eastAsia="Times New Roman" w:cs="Calibri Light"/>
          <w:color w:val="000000"/>
          <w:sz w:val="22"/>
          <w:lang w:val="hu-HU" w:eastAsia="en-GB"/>
        </w:rPr>
        <w:t>The processing of personal data by the Data Processor under the scope of this Agreement may take place when XXXXXXX</w:t>
      </w:r>
      <w:r w:rsidRPr="00ED36B4">
        <w:rPr>
          <w:rFonts w:eastAsia="Times New Roman" w:cs="Calibri Light"/>
          <w:color w:val="000000"/>
          <w:sz w:val="22"/>
          <w:lang w:eastAsia="en-GB"/>
        </w:rPr>
        <w:t> </w:t>
      </w:r>
    </w:p>
    <w:p w14:paraId="66C5E2ED"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FF0000"/>
          <w:sz w:val="22"/>
          <w:lang w:eastAsia="en-GB"/>
        </w:rPr>
        <w:t> </w:t>
      </w:r>
    </w:p>
    <w:p w14:paraId="509F9143" w14:textId="77777777" w:rsidR="00D51839" w:rsidRPr="00ED36B4" w:rsidRDefault="00D51839" w:rsidP="00D51839">
      <w:pPr>
        <w:numPr>
          <w:ilvl w:val="0"/>
          <w:numId w:val="255"/>
        </w:numPr>
        <w:spacing w:after="0" w:line="240" w:lineRule="auto"/>
        <w:ind w:left="141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 xml:space="preserve">Specification of the processing to be carried out: </w:t>
      </w:r>
      <w:r w:rsidRPr="00ED36B4">
        <w:rPr>
          <w:rFonts w:eastAsia="Times New Roman" w:cs="Calibri Light"/>
          <w:i/>
          <w:iCs/>
          <w:color w:val="auto"/>
          <w:sz w:val="22"/>
          <w:lang w:val="hu-HU" w:eastAsia="en-GB"/>
        </w:rPr>
        <w:t>(Please mark with a cross where applicable)</w:t>
      </w:r>
      <w:r w:rsidRPr="00ED36B4">
        <w:rPr>
          <w:rFonts w:eastAsia="Times New Roman" w:cs="Calibri Light"/>
          <w:color w:val="auto"/>
          <w:sz w:val="22"/>
          <w:lang w:eastAsia="en-GB"/>
        </w:rPr>
        <w:t> </w:t>
      </w:r>
    </w:p>
    <w:p w14:paraId="14949826" w14:textId="77777777" w:rsidR="00D51839" w:rsidRPr="00ED36B4" w:rsidRDefault="00D51839" w:rsidP="00D51839">
      <w:pPr>
        <w:numPr>
          <w:ilvl w:val="0"/>
          <w:numId w:val="256"/>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en-US" w:eastAsia="en-GB"/>
        </w:rPr>
        <w:t xml:space="preserve">Collection </w:t>
      </w:r>
      <w:r w:rsidRPr="00ED36B4">
        <w:rPr>
          <w:rFonts w:ascii="Calibri" w:eastAsia="Times New Roman" w:hAnsi="Calibri" w:cs="Calibri"/>
          <w:color w:val="auto"/>
          <w:sz w:val="22"/>
          <w:lang w:eastAsia="en-GB"/>
        </w:rPr>
        <w:tab/>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p w14:paraId="239DB75C" w14:textId="77777777" w:rsidR="00D51839" w:rsidRPr="00ED36B4" w:rsidRDefault="00D51839" w:rsidP="00D51839">
      <w:pPr>
        <w:numPr>
          <w:ilvl w:val="0"/>
          <w:numId w:val="257"/>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en-US" w:eastAsia="en-GB"/>
        </w:rPr>
        <w:t>Recording </w:t>
      </w:r>
      <w:r w:rsidRPr="00ED36B4">
        <w:rPr>
          <w:rFonts w:eastAsia="Times New Roman" w:cs="Calibri Light"/>
          <w:color w:val="auto"/>
          <w:sz w:val="22"/>
          <w:lang w:eastAsia="en-GB"/>
        </w:rPr>
        <w:t> </w:t>
      </w:r>
    </w:p>
    <w:p w14:paraId="748FF7D2" w14:textId="77777777" w:rsidR="00D51839" w:rsidRPr="00ED36B4" w:rsidRDefault="00D51839" w:rsidP="00D51839">
      <w:pPr>
        <w:numPr>
          <w:ilvl w:val="0"/>
          <w:numId w:val="258"/>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en-US" w:eastAsia="en-GB"/>
        </w:rPr>
        <w:t xml:space="preserve">Structuring  </w:t>
      </w:r>
      <w:r w:rsidRPr="00ED36B4">
        <w:rPr>
          <w:rFonts w:ascii="Calibri" w:eastAsia="Times New Roman" w:hAnsi="Calibri" w:cs="Calibri"/>
          <w:color w:val="auto"/>
          <w:sz w:val="22"/>
          <w:lang w:eastAsia="en-GB"/>
        </w:rPr>
        <w:tab/>
      </w:r>
      <w:r w:rsidRPr="00ED36B4">
        <w:rPr>
          <w:rFonts w:ascii="Calibri" w:eastAsia="Times New Roman" w:hAnsi="Calibri" w:cs="Calibri"/>
          <w:color w:val="auto"/>
          <w:sz w:val="24"/>
          <w:szCs w:val="24"/>
          <w:lang w:eastAsia="en-GB"/>
        </w:rPr>
        <w:tab/>
      </w:r>
      <w:r w:rsidRPr="00ED36B4">
        <w:rPr>
          <w:rFonts w:eastAsia="Times New Roman" w:cs="Calibri Light"/>
          <w:color w:val="auto"/>
          <w:sz w:val="22"/>
          <w:lang w:eastAsia="en-GB"/>
        </w:rPr>
        <w:t> </w:t>
      </w:r>
    </w:p>
    <w:p w14:paraId="5223245B" w14:textId="77777777" w:rsidR="00D51839" w:rsidRPr="00ED36B4" w:rsidRDefault="00D51839" w:rsidP="00D51839">
      <w:pPr>
        <w:numPr>
          <w:ilvl w:val="0"/>
          <w:numId w:val="259"/>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en-US" w:eastAsia="en-GB"/>
        </w:rPr>
        <w:t>Modification </w:t>
      </w:r>
      <w:r w:rsidRPr="00ED36B4">
        <w:rPr>
          <w:rFonts w:eastAsia="Times New Roman" w:cs="Calibri Light"/>
          <w:color w:val="auto"/>
          <w:sz w:val="22"/>
          <w:lang w:eastAsia="en-GB"/>
        </w:rPr>
        <w:t> </w:t>
      </w:r>
    </w:p>
    <w:p w14:paraId="293694A5" w14:textId="77777777" w:rsidR="00D51839" w:rsidRPr="00ED36B4" w:rsidRDefault="00D51839" w:rsidP="00D51839">
      <w:pPr>
        <w:numPr>
          <w:ilvl w:val="0"/>
          <w:numId w:val="260"/>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en-US" w:eastAsia="en-GB"/>
        </w:rPr>
        <w:t xml:space="preserve">Conservation </w:t>
      </w:r>
      <w:r w:rsidRPr="00ED36B4">
        <w:rPr>
          <w:rFonts w:ascii="Calibri" w:eastAsia="Times New Roman" w:hAnsi="Calibri" w:cs="Calibri"/>
          <w:color w:val="auto"/>
          <w:sz w:val="22"/>
          <w:lang w:eastAsia="en-GB"/>
        </w:rPr>
        <w:tab/>
      </w:r>
      <w:r w:rsidRPr="00ED36B4">
        <w:rPr>
          <w:rFonts w:ascii="Calibri" w:eastAsia="Times New Roman" w:hAnsi="Calibri" w:cs="Calibri"/>
          <w:color w:val="auto"/>
          <w:sz w:val="24"/>
          <w:szCs w:val="24"/>
          <w:lang w:eastAsia="en-GB"/>
        </w:rPr>
        <w:tab/>
      </w:r>
      <w:r w:rsidRPr="00ED36B4">
        <w:rPr>
          <w:rFonts w:eastAsia="Times New Roman" w:cs="Calibri Light"/>
          <w:color w:val="auto"/>
          <w:sz w:val="22"/>
          <w:lang w:eastAsia="en-GB"/>
        </w:rPr>
        <w:t> </w:t>
      </w:r>
    </w:p>
    <w:p w14:paraId="2DF152C3" w14:textId="77777777" w:rsidR="00D51839" w:rsidRPr="00ED36B4" w:rsidRDefault="00D51839" w:rsidP="00D51839">
      <w:pPr>
        <w:numPr>
          <w:ilvl w:val="0"/>
          <w:numId w:val="261"/>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Extraction </w:t>
      </w:r>
      <w:r w:rsidRPr="00ED36B4">
        <w:rPr>
          <w:rFonts w:eastAsia="Times New Roman" w:cs="Calibri Light"/>
          <w:color w:val="auto"/>
          <w:sz w:val="22"/>
          <w:lang w:eastAsia="en-GB"/>
        </w:rPr>
        <w:t> </w:t>
      </w:r>
    </w:p>
    <w:p w14:paraId="1E00CDFF" w14:textId="77777777" w:rsidR="00D51839" w:rsidRPr="00ED36B4" w:rsidRDefault="00D51839" w:rsidP="00D51839">
      <w:pPr>
        <w:numPr>
          <w:ilvl w:val="0"/>
          <w:numId w:val="262"/>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Consultation </w:t>
      </w:r>
      <w:r w:rsidRPr="00ED36B4">
        <w:rPr>
          <w:rFonts w:eastAsia="Times New Roman" w:cs="Calibri Light"/>
          <w:color w:val="auto"/>
          <w:sz w:val="22"/>
          <w:lang w:eastAsia="en-GB"/>
        </w:rPr>
        <w:t> </w:t>
      </w:r>
    </w:p>
    <w:p w14:paraId="1FEB6A3C" w14:textId="77777777" w:rsidR="00D51839" w:rsidRPr="00ED36B4" w:rsidRDefault="00D51839" w:rsidP="00D51839">
      <w:pPr>
        <w:numPr>
          <w:ilvl w:val="0"/>
          <w:numId w:val="263"/>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Communication by transmission </w:t>
      </w:r>
      <w:r w:rsidRPr="00ED36B4">
        <w:rPr>
          <w:rFonts w:eastAsia="Times New Roman" w:cs="Calibri Light"/>
          <w:color w:val="auto"/>
          <w:sz w:val="22"/>
          <w:lang w:eastAsia="en-GB"/>
        </w:rPr>
        <w:t> </w:t>
      </w:r>
    </w:p>
    <w:p w14:paraId="255734EC" w14:textId="77777777" w:rsidR="00D51839" w:rsidRPr="00ED36B4" w:rsidRDefault="00D51839" w:rsidP="00D51839">
      <w:pPr>
        <w:numPr>
          <w:ilvl w:val="0"/>
          <w:numId w:val="264"/>
        </w:numPr>
        <w:spacing w:after="0" w:line="240" w:lineRule="auto"/>
        <w:ind w:left="2190" w:firstLine="0"/>
        <w:jc w:val="both"/>
        <w:textAlignment w:val="baseline"/>
        <w:rPr>
          <w:rFonts w:eastAsia="Times New Roman" w:cs="Calibri Light"/>
          <w:color w:val="auto"/>
          <w:sz w:val="22"/>
          <w:lang w:eastAsia="en-GB"/>
        </w:rPr>
      </w:pPr>
      <w:proofErr w:type="spellStart"/>
      <w:r w:rsidRPr="00ED36B4">
        <w:rPr>
          <w:rFonts w:eastAsia="Times New Roman" w:cs="Calibri Light"/>
          <w:color w:val="auto"/>
          <w:sz w:val="22"/>
          <w:lang w:val="fr-FR" w:eastAsia="en-GB"/>
        </w:rPr>
        <w:t>Dissemination</w:t>
      </w:r>
      <w:proofErr w:type="spellEnd"/>
      <w:r w:rsidRPr="00ED36B4">
        <w:rPr>
          <w:rFonts w:eastAsia="Times New Roman" w:cs="Calibri Light"/>
          <w:color w:val="auto"/>
          <w:sz w:val="22"/>
          <w:lang w:val="fr-FR" w:eastAsia="en-GB"/>
        </w:rPr>
        <w:t>   </w:t>
      </w:r>
      <w:r w:rsidRPr="00ED36B4">
        <w:rPr>
          <w:rFonts w:eastAsia="Times New Roman" w:cs="Calibri Light"/>
          <w:color w:val="auto"/>
          <w:sz w:val="22"/>
          <w:lang w:eastAsia="en-GB"/>
        </w:rPr>
        <w:t> </w:t>
      </w:r>
    </w:p>
    <w:p w14:paraId="1D961342" w14:textId="77777777" w:rsidR="00D51839" w:rsidRPr="00ED36B4" w:rsidRDefault="00D51839" w:rsidP="00D51839">
      <w:pPr>
        <w:numPr>
          <w:ilvl w:val="0"/>
          <w:numId w:val="265"/>
        </w:numPr>
        <w:spacing w:after="0" w:line="240" w:lineRule="auto"/>
        <w:ind w:left="2190" w:firstLine="0"/>
        <w:jc w:val="both"/>
        <w:textAlignment w:val="baseline"/>
        <w:rPr>
          <w:rFonts w:eastAsia="Times New Roman" w:cs="Calibri Light"/>
          <w:color w:val="auto"/>
          <w:sz w:val="22"/>
          <w:lang w:eastAsia="en-GB"/>
        </w:rPr>
      </w:pPr>
      <w:proofErr w:type="spellStart"/>
      <w:r w:rsidRPr="00ED36B4">
        <w:rPr>
          <w:rFonts w:eastAsia="Times New Roman" w:cs="Calibri Light"/>
          <w:color w:val="auto"/>
          <w:sz w:val="22"/>
          <w:lang w:val="fr-FR" w:eastAsia="en-GB"/>
        </w:rPr>
        <w:t>Interconnection</w:t>
      </w:r>
      <w:proofErr w:type="spellEnd"/>
      <w:r w:rsidRPr="00ED36B4">
        <w:rPr>
          <w:rFonts w:eastAsia="Times New Roman" w:cs="Calibri Light"/>
          <w:color w:val="auto"/>
          <w:sz w:val="22"/>
          <w:lang w:val="fr-FR" w:eastAsia="en-GB"/>
        </w:rPr>
        <w:t> </w:t>
      </w:r>
      <w:r w:rsidRPr="00ED36B4">
        <w:rPr>
          <w:rFonts w:eastAsia="Times New Roman" w:cs="Calibri Light"/>
          <w:color w:val="auto"/>
          <w:sz w:val="22"/>
          <w:lang w:eastAsia="en-GB"/>
        </w:rPr>
        <w:t> </w:t>
      </w:r>
    </w:p>
    <w:p w14:paraId="216D966E" w14:textId="77777777" w:rsidR="00D51839" w:rsidRPr="00ED36B4" w:rsidRDefault="00D51839" w:rsidP="00D51839">
      <w:pPr>
        <w:numPr>
          <w:ilvl w:val="0"/>
          <w:numId w:val="266"/>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 xml:space="preserve">Collation  </w:t>
      </w:r>
      <w:r w:rsidRPr="00ED36B4">
        <w:rPr>
          <w:rFonts w:ascii="Calibri" w:eastAsia="Times New Roman" w:hAnsi="Calibri" w:cs="Calibri"/>
          <w:color w:val="auto"/>
          <w:sz w:val="22"/>
          <w:lang w:eastAsia="en-GB"/>
        </w:rPr>
        <w:tab/>
      </w:r>
      <w:r w:rsidRPr="00ED36B4">
        <w:rPr>
          <w:rFonts w:ascii="Calibri" w:eastAsia="Times New Roman" w:hAnsi="Calibri" w:cs="Calibri"/>
          <w:color w:val="auto"/>
          <w:sz w:val="24"/>
          <w:szCs w:val="24"/>
          <w:lang w:eastAsia="en-GB"/>
        </w:rPr>
        <w:tab/>
      </w:r>
      <w:r w:rsidRPr="00ED36B4">
        <w:rPr>
          <w:rFonts w:ascii="Calibri" w:eastAsia="Times New Roman" w:hAnsi="Calibri" w:cs="Calibri"/>
          <w:color w:val="auto"/>
          <w:sz w:val="24"/>
          <w:szCs w:val="24"/>
          <w:lang w:eastAsia="en-GB"/>
        </w:rPr>
        <w:tab/>
      </w:r>
      <w:r w:rsidRPr="00ED36B4">
        <w:rPr>
          <w:rFonts w:eastAsia="Times New Roman" w:cs="Calibri Light"/>
          <w:color w:val="auto"/>
          <w:sz w:val="22"/>
          <w:lang w:eastAsia="en-GB"/>
        </w:rPr>
        <w:t> </w:t>
      </w:r>
    </w:p>
    <w:p w14:paraId="0430D06F" w14:textId="77777777" w:rsidR="00D51839" w:rsidRPr="00ED36B4" w:rsidRDefault="00D51839" w:rsidP="00D51839">
      <w:pPr>
        <w:numPr>
          <w:ilvl w:val="0"/>
          <w:numId w:val="267"/>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Restriction </w:t>
      </w:r>
      <w:r w:rsidRPr="00ED36B4">
        <w:rPr>
          <w:rFonts w:eastAsia="Times New Roman" w:cs="Calibri Light"/>
          <w:color w:val="auto"/>
          <w:sz w:val="22"/>
          <w:lang w:eastAsia="en-GB"/>
        </w:rPr>
        <w:t> </w:t>
      </w:r>
    </w:p>
    <w:p w14:paraId="5FB8D6F6" w14:textId="77777777" w:rsidR="00D51839" w:rsidRPr="00ED36B4" w:rsidRDefault="00D51839" w:rsidP="00D51839">
      <w:pPr>
        <w:numPr>
          <w:ilvl w:val="0"/>
          <w:numId w:val="268"/>
        </w:numPr>
        <w:spacing w:after="0" w:line="240" w:lineRule="auto"/>
        <w:ind w:left="2190" w:firstLine="0"/>
        <w:jc w:val="both"/>
        <w:textAlignment w:val="baseline"/>
        <w:rPr>
          <w:rFonts w:eastAsia="Times New Roman" w:cs="Calibri Light"/>
          <w:color w:val="auto"/>
          <w:sz w:val="22"/>
          <w:lang w:eastAsia="en-GB"/>
        </w:rPr>
      </w:pPr>
      <w:proofErr w:type="spellStart"/>
      <w:r w:rsidRPr="00ED36B4">
        <w:rPr>
          <w:rFonts w:eastAsia="Times New Roman" w:cs="Calibri Light"/>
          <w:color w:val="auto"/>
          <w:sz w:val="22"/>
          <w:lang w:val="fr-FR" w:eastAsia="en-GB"/>
        </w:rPr>
        <w:t>Deletion</w:t>
      </w:r>
      <w:proofErr w:type="spellEnd"/>
      <w:r w:rsidRPr="00ED36B4">
        <w:rPr>
          <w:rFonts w:eastAsia="Times New Roman" w:cs="Calibri Light"/>
          <w:color w:val="auto"/>
          <w:sz w:val="22"/>
          <w:lang w:val="fr-FR" w:eastAsia="en-GB"/>
        </w:rPr>
        <w:t xml:space="preserve"> </w:t>
      </w:r>
      <w:r w:rsidRPr="00ED36B4">
        <w:rPr>
          <w:rFonts w:ascii="Calibri" w:eastAsia="Times New Roman" w:hAnsi="Calibri" w:cs="Calibri"/>
          <w:color w:val="auto"/>
          <w:sz w:val="22"/>
          <w:lang w:eastAsia="en-GB"/>
        </w:rPr>
        <w:tab/>
      </w:r>
      <w:r w:rsidRPr="00ED36B4">
        <w:rPr>
          <w:rFonts w:ascii="Calibri" w:eastAsia="Times New Roman" w:hAnsi="Calibri" w:cs="Calibri"/>
          <w:color w:val="auto"/>
          <w:sz w:val="24"/>
          <w:szCs w:val="24"/>
          <w:lang w:eastAsia="en-GB"/>
        </w:rPr>
        <w:tab/>
      </w:r>
      <w:r w:rsidRPr="00ED36B4">
        <w:rPr>
          <w:rFonts w:ascii="Calibri" w:eastAsia="Times New Roman" w:hAnsi="Calibri" w:cs="Calibri"/>
          <w:color w:val="auto"/>
          <w:sz w:val="24"/>
          <w:szCs w:val="24"/>
          <w:lang w:eastAsia="en-GB"/>
        </w:rPr>
        <w:tab/>
      </w:r>
      <w:r w:rsidRPr="00ED36B4">
        <w:rPr>
          <w:rFonts w:eastAsia="Times New Roman" w:cs="Calibri Light"/>
          <w:color w:val="auto"/>
          <w:sz w:val="22"/>
          <w:lang w:eastAsia="en-GB"/>
        </w:rPr>
        <w:t> </w:t>
      </w:r>
    </w:p>
    <w:p w14:paraId="511B94C0" w14:textId="77777777" w:rsidR="00D51839" w:rsidRPr="00ED36B4" w:rsidRDefault="00D51839" w:rsidP="00D51839">
      <w:pPr>
        <w:numPr>
          <w:ilvl w:val="0"/>
          <w:numId w:val="269"/>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Destruction </w:t>
      </w:r>
      <w:r w:rsidRPr="00ED36B4">
        <w:rPr>
          <w:rFonts w:eastAsia="Times New Roman" w:cs="Calibri Light"/>
          <w:color w:val="auto"/>
          <w:sz w:val="22"/>
          <w:lang w:eastAsia="en-GB"/>
        </w:rPr>
        <w:t> </w:t>
      </w:r>
    </w:p>
    <w:p w14:paraId="2A266D7B" w14:textId="77777777" w:rsidR="00D51839" w:rsidRPr="00ED36B4" w:rsidRDefault="00D51839" w:rsidP="00D51839">
      <w:pPr>
        <w:numPr>
          <w:ilvl w:val="0"/>
          <w:numId w:val="270"/>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 xml:space="preserve">Conservation </w:t>
      </w:r>
      <w:r w:rsidRPr="00ED36B4">
        <w:rPr>
          <w:rFonts w:ascii="Calibri" w:eastAsia="Times New Roman" w:hAnsi="Calibri" w:cs="Calibri"/>
          <w:color w:val="auto"/>
          <w:sz w:val="22"/>
          <w:lang w:eastAsia="en-GB"/>
        </w:rPr>
        <w:tab/>
      </w:r>
      <w:r w:rsidRPr="00ED36B4">
        <w:rPr>
          <w:rFonts w:eastAsia="Times New Roman" w:cs="Calibri Light"/>
          <w:color w:val="auto"/>
          <w:sz w:val="22"/>
          <w:lang w:eastAsia="en-GB"/>
        </w:rPr>
        <w:t> </w:t>
      </w:r>
    </w:p>
    <w:p w14:paraId="1F42D875" w14:textId="77777777" w:rsidR="00D51839" w:rsidRPr="00ED36B4" w:rsidRDefault="00D51839" w:rsidP="00D51839">
      <w:pPr>
        <w:numPr>
          <w:ilvl w:val="0"/>
          <w:numId w:val="271"/>
        </w:numPr>
        <w:spacing w:after="0" w:line="240" w:lineRule="auto"/>
        <w:ind w:left="22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Communication </w:t>
      </w:r>
      <w:r w:rsidRPr="00ED36B4">
        <w:rPr>
          <w:rFonts w:eastAsia="Times New Roman" w:cs="Calibri Light"/>
          <w:color w:val="auto"/>
          <w:sz w:val="22"/>
          <w:lang w:eastAsia="en-GB"/>
        </w:rPr>
        <w:t> </w:t>
      </w:r>
    </w:p>
    <w:p w14:paraId="6276D300" w14:textId="77777777" w:rsidR="00D51839" w:rsidRPr="00ED36B4" w:rsidRDefault="00D51839" w:rsidP="00D51839">
      <w:pPr>
        <w:numPr>
          <w:ilvl w:val="0"/>
          <w:numId w:val="272"/>
        </w:numPr>
        <w:spacing w:after="0" w:line="240" w:lineRule="auto"/>
        <w:ind w:left="-3960" w:firstLine="1125"/>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w:t>
      </w:r>
    </w:p>
    <w:p w14:paraId="03898052" w14:textId="77777777" w:rsidR="00D51839" w:rsidRDefault="00D51839" w:rsidP="00D51839">
      <w:pPr>
        <w:spacing w:after="0" w:line="240" w:lineRule="auto"/>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Other: ....................................................................................................................... </w:t>
      </w:r>
      <w:r w:rsidRPr="00ED36B4">
        <w:rPr>
          <w:rFonts w:eastAsia="Times New Roman" w:cs="Calibri Light"/>
          <w:color w:val="auto"/>
          <w:sz w:val="22"/>
          <w:lang w:eastAsia="en-GB"/>
        </w:rPr>
        <w:t> </w:t>
      </w:r>
    </w:p>
    <w:p w14:paraId="4D0C6AAF"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p>
    <w:p w14:paraId="70658B72" w14:textId="77777777" w:rsidR="00D51839" w:rsidRPr="00A71F71" w:rsidRDefault="00D51839" w:rsidP="00D51839">
      <w:pPr>
        <w:numPr>
          <w:ilvl w:val="0"/>
          <w:numId w:val="273"/>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b/>
          <w:bCs/>
          <w:color w:val="4472C4"/>
          <w:sz w:val="22"/>
          <w:lang w:val="hu-HU" w:eastAsia="en-GB"/>
        </w:rPr>
        <w:t>Identification of the affected information</w:t>
      </w:r>
      <w:r w:rsidRPr="00ED36B4">
        <w:rPr>
          <w:rFonts w:eastAsia="Times New Roman" w:cs="Calibri Light"/>
          <w:color w:val="4472C4"/>
          <w:sz w:val="22"/>
          <w:lang w:eastAsia="en-GB"/>
        </w:rPr>
        <w:t> </w:t>
      </w:r>
    </w:p>
    <w:p w14:paraId="02A38662" w14:textId="77777777" w:rsidR="00D51839" w:rsidRPr="00ED36B4" w:rsidRDefault="00D51839" w:rsidP="00D51839">
      <w:pPr>
        <w:spacing w:after="0" w:line="240" w:lineRule="auto"/>
        <w:ind w:left="1080"/>
        <w:jc w:val="both"/>
        <w:textAlignment w:val="baseline"/>
        <w:rPr>
          <w:rFonts w:eastAsia="Times New Roman" w:cs="Calibri Light"/>
          <w:color w:val="auto"/>
          <w:sz w:val="22"/>
          <w:lang w:eastAsia="en-GB"/>
        </w:rPr>
      </w:pPr>
    </w:p>
    <w:p w14:paraId="56671BB7" w14:textId="77777777" w:rsidR="00D51839" w:rsidRPr="00ED36B4" w:rsidRDefault="00D51839" w:rsidP="00D51839">
      <w:pPr>
        <w:spacing w:after="0" w:line="240" w:lineRule="auto"/>
        <w:ind w:left="420"/>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val="hu-HU" w:eastAsia="en-GB"/>
        </w:rPr>
        <w:t>For the execution of the services derived from the fulfilment of the object of the Agreement and subject to the obligations stated in this Data Processing Agreement, the Data Processor will process the Personal Data described below:</w:t>
      </w:r>
      <w:r w:rsidRPr="00ED36B4">
        <w:rPr>
          <w:rFonts w:eastAsia="Times New Roman" w:cs="Calibri Light"/>
          <w:color w:val="auto"/>
          <w:sz w:val="22"/>
          <w:lang w:eastAsia="en-GB"/>
        </w:rPr>
        <w:t> </w:t>
      </w:r>
    </w:p>
    <w:p w14:paraId="4C9F2B93" w14:textId="77777777" w:rsidR="00D51839" w:rsidRPr="00ED36B4" w:rsidRDefault="00D51839" w:rsidP="00D51839">
      <w:pPr>
        <w:spacing w:after="0" w:line="240" w:lineRule="auto"/>
        <w:ind w:left="420"/>
        <w:jc w:val="both"/>
        <w:textAlignment w:val="baseline"/>
        <w:rPr>
          <w:rFonts w:ascii="Segoe UI" w:eastAsia="Times New Roman" w:hAnsi="Segoe UI" w:cs="Segoe UI"/>
          <w:color w:val="auto"/>
          <w:sz w:val="18"/>
          <w:szCs w:val="18"/>
          <w:lang w:eastAsia="en-GB"/>
        </w:rPr>
      </w:pPr>
      <w:r w:rsidRPr="00ED36B4">
        <w:rPr>
          <w:rFonts w:eastAsia="Times New Roman" w:cs="Calibri Light"/>
          <w:i/>
          <w:iCs/>
          <w:color w:val="auto"/>
          <w:sz w:val="22"/>
          <w:lang w:val="hu-HU" w:eastAsia="en-GB"/>
        </w:rPr>
        <w:t>(Please number all Personal Data processed e.g image, voice, nationality, name, surname, etc.)</w:t>
      </w:r>
      <w:r w:rsidRPr="00ED36B4">
        <w:rPr>
          <w:rFonts w:eastAsia="Times New Roman" w:cs="Calibri Light"/>
          <w:color w:val="auto"/>
          <w:sz w:val="22"/>
          <w:lang w:eastAsia="en-GB"/>
        </w:rPr>
        <w:t> </w:t>
      </w:r>
    </w:p>
    <w:p w14:paraId="11578D0F" w14:textId="77777777" w:rsidR="00D51839" w:rsidRPr="00ED36B4" w:rsidRDefault="00D51839" w:rsidP="00D51839">
      <w:pPr>
        <w:numPr>
          <w:ilvl w:val="0"/>
          <w:numId w:val="274"/>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Image</w:t>
      </w:r>
      <w:r w:rsidRPr="00ED36B4">
        <w:rPr>
          <w:rFonts w:eastAsia="Times New Roman" w:cs="Calibri Light"/>
          <w:color w:val="auto"/>
          <w:sz w:val="22"/>
          <w:lang w:eastAsia="en-GB"/>
        </w:rPr>
        <w:t> </w:t>
      </w:r>
    </w:p>
    <w:p w14:paraId="66CB2614" w14:textId="77777777" w:rsidR="00D51839" w:rsidRPr="00ED36B4" w:rsidRDefault="00D51839" w:rsidP="00D51839">
      <w:pPr>
        <w:numPr>
          <w:ilvl w:val="0"/>
          <w:numId w:val="275"/>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voice</w:t>
      </w:r>
      <w:r w:rsidRPr="00ED36B4">
        <w:rPr>
          <w:rFonts w:eastAsia="Times New Roman" w:cs="Calibri Light"/>
          <w:color w:val="auto"/>
          <w:sz w:val="22"/>
          <w:lang w:eastAsia="en-GB"/>
        </w:rPr>
        <w:t> </w:t>
      </w:r>
    </w:p>
    <w:p w14:paraId="1A80BEDC" w14:textId="77777777" w:rsidR="00D51839" w:rsidRPr="00ED36B4" w:rsidRDefault="00D51839" w:rsidP="00D51839">
      <w:pPr>
        <w:numPr>
          <w:ilvl w:val="0"/>
          <w:numId w:val="276"/>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nationality</w:t>
      </w:r>
      <w:r w:rsidRPr="00ED36B4">
        <w:rPr>
          <w:rFonts w:eastAsia="Times New Roman" w:cs="Calibri Light"/>
          <w:color w:val="auto"/>
          <w:sz w:val="22"/>
          <w:lang w:eastAsia="en-GB"/>
        </w:rPr>
        <w:t> </w:t>
      </w:r>
    </w:p>
    <w:p w14:paraId="5826BF7C" w14:textId="77777777" w:rsidR="00D51839" w:rsidRPr="00ED36B4" w:rsidRDefault="00D51839" w:rsidP="00D51839">
      <w:pPr>
        <w:numPr>
          <w:ilvl w:val="0"/>
          <w:numId w:val="277"/>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name </w:t>
      </w:r>
      <w:r w:rsidRPr="00ED36B4">
        <w:rPr>
          <w:rFonts w:eastAsia="Times New Roman" w:cs="Calibri Light"/>
          <w:color w:val="auto"/>
          <w:sz w:val="22"/>
          <w:lang w:eastAsia="en-GB"/>
        </w:rPr>
        <w:t> </w:t>
      </w:r>
    </w:p>
    <w:p w14:paraId="618CCF69" w14:textId="77777777" w:rsidR="00D51839" w:rsidRPr="00ED36B4" w:rsidRDefault="00D51839" w:rsidP="00D51839">
      <w:pPr>
        <w:numPr>
          <w:ilvl w:val="0"/>
          <w:numId w:val="278"/>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surname</w:t>
      </w:r>
      <w:r w:rsidRPr="00ED36B4">
        <w:rPr>
          <w:rFonts w:eastAsia="Times New Roman" w:cs="Calibri Light"/>
          <w:color w:val="auto"/>
          <w:sz w:val="22"/>
          <w:lang w:eastAsia="en-GB"/>
        </w:rPr>
        <w:t> </w:t>
      </w:r>
    </w:p>
    <w:p w14:paraId="71FDE767" w14:textId="77777777" w:rsidR="00D51839" w:rsidRDefault="00D51839" w:rsidP="00D51839">
      <w:pPr>
        <w:numPr>
          <w:ilvl w:val="0"/>
          <w:numId w:val="279"/>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job title </w:t>
      </w:r>
      <w:r w:rsidRPr="00ED36B4">
        <w:rPr>
          <w:rFonts w:eastAsia="Times New Roman" w:cs="Calibri Light"/>
          <w:color w:val="auto"/>
          <w:sz w:val="22"/>
          <w:lang w:eastAsia="en-GB"/>
        </w:rPr>
        <w:t> </w:t>
      </w:r>
    </w:p>
    <w:p w14:paraId="34A348B7" w14:textId="77777777" w:rsidR="00D51839" w:rsidRPr="00ED36B4" w:rsidRDefault="00D51839" w:rsidP="00D51839">
      <w:pPr>
        <w:spacing w:after="0" w:line="240" w:lineRule="auto"/>
        <w:ind w:left="1080"/>
        <w:jc w:val="both"/>
        <w:textAlignment w:val="baseline"/>
        <w:rPr>
          <w:rFonts w:eastAsia="Times New Roman" w:cs="Calibri Light"/>
          <w:color w:val="auto"/>
          <w:sz w:val="22"/>
          <w:lang w:eastAsia="en-GB"/>
        </w:rPr>
      </w:pPr>
    </w:p>
    <w:p w14:paraId="77295657" w14:textId="77777777" w:rsidR="00D51839" w:rsidRPr="00A71F71" w:rsidRDefault="00D51839" w:rsidP="00D51839">
      <w:pPr>
        <w:numPr>
          <w:ilvl w:val="0"/>
          <w:numId w:val="280"/>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b/>
          <w:bCs/>
          <w:color w:val="4472C4"/>
          <w:sz w:val="22"/>
          <w:lang w:val="hu-HU" w:eastAsia="en-GB"/>
        </w:rPr>
        <w:lastRenderedPageBreak/>
        <w:t>Duration</w:t>
      </w:r>
      <w:r w:rsidRPr="00ED36B4">
        <w:rPr>
          <w:rFonts w:eastAsia="Times New Roman" w:cs="Calibri Light"/>
          <w:color w:val="4472C4"/>
          <w:sz w:val="22"/>
          <w:lang w:eastAsia="en-GB"/>
        </w:rPr>
        <w:t> </w:t>
      </w:r>
    </w:p>
    <w:p w14:paraId="07E23AD9" w14:textId="77777777" w:rsidR="00D51839" w:rsidRPr="00ED36B4" w:rsidRDefault="00D51839" w:rsidP="00D51839">
      <w:pPr>
        <w:spacing w:after="0" w:line="240" w:lineRule="auto"/>
        <w:ind w:left="1080"/>
        <w:jc w:val="both"/>
        <w:textAlignment w:val="baseline"/>
        <w:rPr>
          <w:rFonts w:eastAsia="Times New Roman" w:cs="Calibri Light"/>
          <w:color w:val="auto"/>
          <w:sz w:val="22"/>
          <w:lang w:eastAsia="en-GB"/>
        </w:rPr>
      </w:pPr>
    </w:p>
    <w:p w14:paraId="0CF85866" w14:textId="77777777" w:rsidR="00D51839" w:rsidRDefault="00D51839" w:rsidP="00D51839">
      <w:pPr>
        <w:spacing w:after="0" w:line="240" w:lineRule="auto"/>
        <w:ind w:left="72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This Data Processing Agreement shall enter into force upon being made and shall remain in force as long as the provision of services under the Agreement lasts.  </w:t>
      </w:r>
      <w:r w:rsidRPr="00ED36B4">
        <w:rPr>
          <w:rFonts w:eastAsia="Times New Roman" w:cs="Calibri Light"/>
          <w:color w:val="auto"/>
          <w:sz w:val="22"/>
          <w:lang w:eastAsia="en-GB"/>
        </w:rPr>
        <w:t> </w:t>
      </w:r>
    </w:p>
    <w:p w14:paraId="2E63F20F" w14:textId="77777777" w:rsidR="00D51839" w:rsidRPr="00ED36B4" w:rsidRDefault="00D51839" w:rsidP="00D51839">
      <w:pPr>
        <w:spacing w:after="0" w:line="240" w:lineRule="auto"/>
        <w:ind w:left="720"/>
        <w:jc w:val="both"/>
        <w:textAlignment w:val="baseline"/>
        <w:rPr>
          <w:rFonts w:ascii="Segoe UI" w:eastAsia="Times New Roman" w:hAnsi="Segoe UI" w:cs="Segoe UI"/>
          <w:color w:val="auto"/>
          <w:sz w:val="18"/>
          <w:szCs w:val="18"/>
          <w:lang w:eastAsia="en-GB"/>
        </w:rPr>
      </w:pPr>
    </w:p>
    <w:p w14:paraId="4B49FB58" w14:textId="77777777" w:rsidR="00D51839" w:rsidRPr="00A71F71" w:rsidRDefault="00D51839" w:rsidP="00D51839">
      <w:pPr>
        <w:numPr>
          <w:ilvl w:val="0"/>
          <w:numId w:val="281"/>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b/>
          <w:bCs/>
          <w:color w:val="4472C4"/>
          <w:sz w:val="22"/>
          <w:lang w:val="hu-HU" w:eastAsia="en-GB"/>
        </w:rPr>
        <w:t>Subcontracting</w:t>
      </w:r>
      <w:r w:rsidRPr="00ED36B4">
        <w:rPr>
          <w:rFonts w:eastAsia="Times New Roman" w:cs="Calibri Light"/>
          <w:color w:val="4472C4"/>
          <w:sz w:val="22"/>
          <w:lang w:eastAsia="en-GB"/>
        </w:rPr>
        <w:t> </w:t>
      </w:r>
    </w:p>
    <w:p w14:paraId="703C4D43" w14:textId="77777777" w:rsidR="00D51839" w:rsidRPr="00ED36B4" w:rsidRDefault="00D51839" w:rsidP="00D51839">
      <w:pPr>
        <w:spacing w:after="0" w:line="240" w:lineRule="auto"/>
        <w:ind w:left="1080"/>
        <w:jc w:val="both"/>
        <w:textAlignment w:val="baseline"/>
        <w:rPr>
          <w:rFonts w:eastAsia="Times New Roman" w:cs="Calibri Light"/>
          <w:color w:val="auto"/>
          <w:sz w:val="22"/>
          <w:lang w:eastAsia="en-GB"/>
        </w:rPr>
      </w:pPr>
    </w:p>
    <w:p w14:paraId="546CEB90" w14:textId="77777777" w:rsidR="00D51839" w:rsidRPr="00ED36B4" w:rsidRDefault="00D51839" w:rsidP="00D51839">
      <w:pPr>
        <w:spacing w:after="0" w:line="240" w:lineRule="auto"/>
        <w:ind w:left="70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val="hu-HU" w:eastAsia="en-GB"/>
        </w:rPr>
        <w:t>The Data Processor is authorized to subcontract the following processing:</w:t>
      </w:r>
      <w:r w:rsidRPr="00ED36B4">
        <w:rPr>
          <w:rFonts w:eastAsia="Times New Roman" w:cs="Calibri Light"/>
          <w:color w:val="auto"/>
          <w:sz w:val="22"/>
          <w:lang w:eastAsia="en-GB"/>
        </w:rPr>
        <w:t> </w:t>
      </w:r>
    </w:p>
    <w:p w14:paraId="7195E6A0" w14:textId="77777777" w:rsidR="00D51839" w:rsidRPr="00ED36B4" w:rsidRDefault="00D51839" w:rsidP="00D51839">
      <w:pPr>
        <w:spacing w:after="0" w:line="240" w:lineRule="auto"/>
        <w:ind w:left="705"/>
        <w:jc w:val="both"/>
        <w:textAlignment w:val="baseline"/>
        <w:rPr>
          <w:rFonts w:ascii="Segoe UI" w:eastAsia="Times New Roman" w:hAnsi="Segoe UI" w:cs="Segoe UI"/>
          <w:color w:val="auto"/>
          <w:sz w:val="18"/>
          <w:szCs w:val="18"/>
          <w:lang w:eastAsia="en-GB"/>
        </w:rPr>
      </w:pPr>
      <w:r w:rsidRPr="00ED36B4">
        <w:rPr>
          <w:rFonts w:eastAsia="Times New Roman" w:cs="Calibri Light"/>
          <w:i/>
          <w:iCs/>
          <w:color w:val="auto"/>
          <w:sz w:val="22"/>
          <w:lang w:val="hu-HU" w:eastAsia="en-GB"/>
        </w:rPr>
        <w:t>(please inform if there is going to be any data processing subcontracting)</w:t>
      </w:r>
      <w:r w:rsidRPr="00ED36B4">
        <w:rPr>
          <w:rFonts w:eastAsia="Times New Roman" w:cs="Calibri Light"/>
          <w:color w:val="auto"/>
          <w:sz w:val="22"/>
          <w:lang w:eastAsia="en-GB"/>
        </w:rPr>
        <w:t> </w:t>
      </w:r>
    </w:p>
    <w:p w14:paraId="1EBD76DF"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65860E78" w14:textId="77777777" w:rsidR="00D51839" w:rsidRPr="0069653C" w:rsidRDefault="00D51839" w:rsidP="00D51839">
      <w:pPr>
        <w:spacing w:before="240" w:after="160" w:line="259" w:lineRule="auto"/>
        <w:jc w:val="both"/>
        <w:rPr>
          <w:rFonts w:cs="Calibri Light"/>
          <w:bCs/>
          <w:color w:val="auto"/>
          <w:w w:val="105"/>
          <w:sz w:val="22"/>
        </w:rPr>
      </w:pPr>
      <w:r>
        <w:rPr>
          <w:rFonts w:eastAsia="Times New Roman" w:cs="Calibri Light"/>
          <w:noProof/>
          <w:color w:val="auto"/>
          <w:sz w:val="24"/>
          <w:szCs w:val="24"/>
          <w:lang w:eastAsia="en-GB"/>
        </w:rPr>
        <mc:AlternateContent>
          <mc:Choice Requires="wps">
            <w:drawing>
              <wp:anchor distT="0" distB="0" distL="114300" distR="114300" simplePos="0" relativeHeight="251660288" behindDoc="0" locked="0" layoutInCell="1" allowOverlap="1" wp14:anchorId="37EA42C9" wp14:editId="3110DBEF">
                <wp:simplePos x="0" y="0"/>
                <wp:positionH relativeFrom="column">
                  <wp:posOffset>53340</wp:posOffset>
                </wp:positionH>
                <wp:positionV relativeFrom="paragraph">
                  <wp:posOffset>154940</wp:posOffset>
                </wp:positionV>
                <wp:extent cx="4943475" cy="971550"/>
                <wp:effectExtent l="0" t="0" r="28575" b="19050"/>
                <wp:wrapNone/>
                <wp:docPr id="1506213643" name="Text Box 1"/>
                <wp:cNvGraphicFramePr/>
                <a:graphic xmlns:a="http://schemas.openxmlformats.org/drawingml/2006/main">
                  <a:graphicData uri="http://schemas.microsoft.com/office/word/2010/wordprocessingShape">
                    <wps:wsp>
                      <wps:cNvSpPr txBox="1"/>
                      <wps:spPr>
                        <a:xfrm>
                          <a:off x="0" y="0"/>
                          <a:ext cx="4943475" cy="971550"/>
                        </a:xfrm>
                        <a:prstGeom prst="rect">
                          <a:avLst/>
                        </a:prstGeom>
                        <a:solidFill>
                          <a:schemeClr val="lt1"/>
                        </a:solidFill>
                        <a:ln w="6350">
                          <a:solidFill>
                            <a:prstClr val="black"/>
                          </a:solidFill>
                        </a:ln>
                      </wps:spPr>
                      <wps:txbx>
                        <w:txbxContent>
                          <w:p w14:paraId="424BB5AC" w14:textId="77777777" w:rsidR="00D51839" w:rsidRDefault="00D51839" w:rsidP="00D51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EA42C9" id="_x0000_t202" coordsize="21600,21600" o:spt="202" path="m,l,21600r21600,l21600,xe">
                <v:stroke joinstyle="miter"/>
                <v:path gradientshapeok="t" o:connecttype="rect"/>
              </v:shapetype>
              <v:shape id="Text Box 1" o:spid="_x0000_s1026" type="#_x0000_t202" style="position:absolute;left:0;text-align:left;margin-left:4.2pt;margin-top:12.2pt;width:389.25pt;height:7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" fillcolor="white [3201]" strokeweight=".5pt">
                <v:textbox>
                  <w:txbxContent>
                    <w:p w14:paraId="424BB5AC" w14:textId="77777777" w:rsidR="00D51839" w:rsidRDefault="00D51839" w:rsidP="00D51839"/>
                  </w:txbxContent>
                </v:textbox>
              </v:shape>
            </w:pict>
          </mc:Fallback>
        </mc:AlternateContent>
      </w:r>
      <w:r w:rsidRPr="00ED36B4">
        <w:rPr>
          <w:rFonts w:eastAsia="Times New Roman" w:cs="Calibri Light"/>
          <w:color w:val="auto"/>
          <w:sz w:val="24"/>
          <w:szCs w:val="24"/>
          <w:lang w:eastAsia="en-GB"/>
        </w:rPr>
        <w:t> </w:t>
      </w:r>
    </w:p>
    <w:p w14:paraId="62E5FA0B" w14:textId="77777777" w:rsidR="00D51839" w:rsidRPr="00ED36B4" w:rsidRDefault="00D51839" w:rsidP="00D51839">
      <w:pPr>
        <w:spacing w:after="0" w:line="240" w:lineRule="auto"/>
        <w:ind w:left="345"/>
        <w:jc w:val="both"/>
        <w:textAlignment w:val="baseline"/>
        <w:rPr>
          <w:rFonts w:ascii="Segoe UI" w:eastAsia="Times New Roman" w:hAnsi="Segoe UI" w:cs="Segoe UI"/>
          <w:color w:val="auto"/>
          <w:sz w:val="18"/>
          <w:szCs w:val="18"/>
          <w:lang w:eastAsia="en-GB"/>
        </w:rPr>
      </w:pPr>
    </w:p>
    <w:p w14:paraId="2BB659C7" w14:textId="77777777" w:rsidR="00D51839" w:rsidRDefault="00D51839" w:rsidP="00D51839">
      <w:pPr>
        <w:widowControl w:val="0"/>
        <w:spacing w:before="1" w:after="0" w:line="240" w:lineRule="auto"/>
        <w:jc w:val="both"/>
        <w:rPr>
          <w:rFonts w:ascii="Arial" w:eastAsia="Arial" w:hAnsi="Arial" w:cs="Arial"/>
          <w:color w:val="auto"/>
          <w:sz w:val="22"/>
        </w:rPr>
      </w:pPr>
    </w:p>
    <w:p w14:paraId="0D9F02B5" w14:textId="77777777" w:rsidR="00D51839" w:rsidRDefault="00D51839" w:rsidP="00D51839">
      <w:pPr>
        <w:widowControl w:val="0"/>
        <w:spacing w:before="1" w:after="0" w:line="240" w:lineRule="auto"/>
        <w:jc w:val="both"/>
        <w:rPr>
          <w:rFonts w:ascii="Arial" w:eastAsia="Arial" w:hAnsi="Arial" w:cs="Arial"/>
          <w:color w:val="auto"/>
          <w:sz w:val="22"/>
        </w:rPr>
      </w:pPr>
    </w:p>
    <w:p w14:paraId="2837A44F" w14:textId="77777777" w:rsidR="00D51839" w:rsidRDefault="00D51839" w:rsidP="00D51839">
      <w:pPr>
        <w:widowControl w:val="0"/>
        <w:spacing w:before="1" w:after="0" w:line="240" w:lineRule="auto"/>
        <w:jc w:val="both"/>
        <w:rPr>
          <w:rFonts w:ascii="Arial" w:eastAsia="Arial" w:hAnsi="Arial" w:cs="Arial"/>
          <w:color w:val="auto"/>
          <w:sz w:val="22"/>
        </w:rPr>
      </w:pPr>
    </w:p>
    <w:p w14:paraId="79A73A45" w14:textId="77777777" w:rsidR="00D51839" w:rsidRDefault="00D51839" w:rsidP="00D51839">
      <w:pPr>
        <w:widowControl w:val="0"/>
        <w:spacing w:before="1" w:after="0" w:line="240" w:lineRule="auto"/>
        <w:jc w:val="both"/>
        <w:rPr>
          <w:rFonts w:ascii="Arial" w:eastAsia="Arial" w:hAnsi="Arial" w:cs="Arial"/>
          <w:color w:val="auto"/>
          <w:sz w:val="22"/>
        </w:rPr>
      </w:pPr>
    </w:p>
    <w:p w14:paraId="1F736586" w14:textId="77777777" w:rsidR="00D51839" w:rsidRDefault="00D51839" w:rsidP="00D51839">
      <w:pPr>
        <w:widowControl w:val="0"/>
        <w:spacing w:before="1" w:after="0" w:line="240" w:lineRule="auto"/>
        <w:jc w:val="both"/>
        <w:rPr>
          <w:rFonts w:ascii="Arial" w:eastAsia="Arial" w:hAnsi="Arial" w:cs="Arial"/>
          <w:color w:val="auto"/>
          <w:sz w:val="22"/>
        </w:rPr>
      </w:pPr>
    </w:p>
    <w:p w14:paraId="290A9448" w14:textId="77777777" w:rsidR="00D51839" w:rsidRDefault="00D51839" w:rsidP="00D51839">
      <w:pPr>
        <w:widowControl w:val="0"/>
        <w:spacing w:before="1" w:after="0" w:line="240" w:lineRule="auto"/>
        <w:jc w:val="both"/>
        <w:rPr>
          <w:rFonts w:ascii="Arial" w:eastAsia="Arial" w:hAnsi="Arial" w:cs="Arial"/>
          <w:color w:val="auto"/>
          <w:sz w:val="22"/>
        </w:rPr>
      </w:pPr>
    </w:p>
    <w:p w14:paraId="71CBEAA1" w14:textId="77777777" w:rsidR="00D51839" w:rsidRDefault="00D51839" w:rsidP="00D51839">
      <w:pPr>
        <w:widowControl w:val="0"/>
        <w:spacing w:before="1" w:after="0" w:line="240" w:lineRule="auto"/>
        <w:jc w:val="both"/>
        <w:rPr>
          <w:rFonts w:ascii="Arial" w:eastAsia="Arial" w:hAnsi="Arial" w:cs="Arial"/>
          <w:color w:val="auto"/>
          <w:sz w:val="22"/>
        </w:rPr>
      </w:pPr>
    </w:p>
    <w:p w14:paraId="7401A053" w14:textId="77777777" w:rsidR="00D51839" w:rsidRDefault="00D51839" w:rsidP="00D51839">
      <w:pPr>
        <w:widowControl w:val="0"/>
        <w:spacing w:before="1" w:after="0" w:line="240" w:lineRule="auto"/>
        <w:jc w:val="both"/>
        <w:rPr>
          <w:rFonts w:ascii="Arial" w:eastAsia="Arial" w:hAnsi="Arial" w:cs="Arial"/>
          <w:color w:val="auto"/>
          <w:sz w:val="22"/>
        </w:rPr>
      </w:pPr>
    </w:p>
    <w:p w14:paraId="61DD6AB3" w14:textId="77777777" w:rsidR="00D51839" w:rsidRDefault="00D51839" w:rsidP="00D51839">
      <w:pPr>
        <w:widowControl w:val="0"/>
        <w:spacing w:before="1" w:after="0" w:line="240" w:lineRule="auto"/>
        <w:jc w:val="both"/>
        <w:rPr>
          <w:rFonts w:ascii="Arial" w:eastAsia="Arial" w:hAnsi="Arial" w:cs="Arial"/>
          <w:color w:val="auto"/>
          <w:sz w:val="22"/>
        </w:rPr>
      </w:pPr>
    </w:p>
    <w:p w14:paraId="414DBFE8" w14:textId="77777777" w:rsidR="00D51839" w:rsidRDefault="00D51839" w:rsidP="00D51839">
      <w:pPr>
        <w:widowControl w:val="0"/>
        <w:spacing w:before="1" w:after="0" w:line="240" w:lineRule="auto"/>
        <w:jc w:val="both"/>
        <w:rPr>
          <w:rFonts w:ascii="Arial" w:eastAsia="Arial" w:hAnsi="Arial" w:cs="Arial"/>
          <w:color w:val="auto"/>
          <w:sz w:val="22"/>
        </w:rPr>
      </w:pPr>
    </w:p>
    <w:p w14:paraId="3802A967" w14:textId="77777777" w:rsidR="00D51839" w:rsidRDefault="00D51839" w:rsidP="00D51839">
      <w:pPr>
        <w:widowControl w:val="0"/>
        <w:spacing w:before="1" w:after="0" w:line="240" w:lineRule="auto"/>
        <w:jc w:val="both"/>
        <w:rPr>
          <w:rFonts w:ascii="Arial" w:eastAsia="Arial" w:hAnsi="Arial" w:cs="Arial"/>
          <w:color w:val="auto"/>
          <w:sz w:val="22"/>
        </w:rPr>
      </w:pPr>
    </w:p>
    <w:p w14:paraId="2E06778C" w14:textId="77777777" w:rsidR="00D51839" w:rsidRDefault="00D51839" w:rsidP="00D51839">
      <w:pPr>
        <w:widowControl w:val="0"/>
        <w:spacing w:before="1" w:after="0" w:line="240" w:lineRule="auto"/>
        <w:jc w:val="both"/>
        <w:rPr>
          <w:rFonts w:ascii="Arial" w:eastAsia="Arial" w:hAnsi="Arial" w:cs="Arial"/>
          <w:color w:val="auto"/>
          <w:sz w:val="22"/>
        </w:rPr>
      </w:pPr>
    </w:p>
    <w:p w14:paraId="2D1A603C" w14:textId="77777777" w:rsidR="00D51839" w:rsidRDefault="00D51839" w:rsidP="00D51839">
      <w:pPr>
        <w:widowControl w:val="0"/>
        <w:spacing w:before="1" w:after="0" w:line="240" w:lineRule="auto"/>
        <w:jc w:val="both"/>
        <w:rPr>
          <w:rFonts w:ascii="Arial" w:eastAsia="Arial" w:hAnsi="Arial" w:cs="Arial"/>
          <w:color w:val="auto"/>
          <w:sz w:val="22"/>
        </w:rPr>
      </w:pPr>
    </w:p>
    <w:p w14:paraId="3306B4B7" w14:textId="77777777" w:rsidR="00D51839" w:rsidRDefault="00D51839" w:rsidP="00D51839">
      <w:pPr>
        <w:widowControl w:val="0"/>
        <w:spacing w:before="1" w:after="0" w:line="240" w:lineRule="auto"/>
        <w:jc w:val="both"/>
        <w:rPr>
          <w:rFonts w:ascii="Arial" w:eastAsia="Arial" w:hAnsi="Arial" w:cs="Arial"/>
          <w:color w:val="auto"/>
          <w:sz w:val="22"/>
        </w:rPr>
      </w:pPr>
    </w:p>
    <w:p w14:paraId="407FB1E5" w14:textId="77777777" w:rsidR="00D51839" w:rsidRDefault="00D51839" w:rsidP="00D51839">
      <w:pPr>
        <w:widowControl w:val="0"/>
        <w:spacing w:before="1" w:after="0" w:line="240" w:lineRule="auto"/>
        <w:jc w:val="both"/>
        <w:rPr>
          <w:rFonts w:ascii="Arial" w:eastAsia="Arial" w:hAnsi="Arial" w:cs="Arial"/>
          <w:color w:val="auto"/>
          <w:sz w:val="22"/>
        </w:rPr>
      </w:pPr>
    </w:p>
    <w:p w14:paraId="74481F29" w14:textId="77777777" w:rsidR="00D51839" w:rsidRDefault="00D51839" w:rsidP="00D51839">
      <w:pPr>
        <w:widowControl w:val="0"/>
        <w:spacing w:before="1" w:after="0" w:line="240" w:lineRule="auto"/>
        <w:jc w:val="both"/>
        <w:rPr>
          <w:rFonts w:ascii="Arial" w:eastAsia="Arial" w:hAnsi="Arial" w:cs="Arial"/>
          <w:color w:val="auto"/>
          <w:sz w:val="22"/>
        </w:rPr>
      </w:pPr>
    </w:p>
    <w:p w14:paraId="75D54F84" w14:textId="77777777" w:rsidR="00D51839" w:rsidRDefault="00D51839" w:rsidP="00D51839">
      <w:pPr>
        <w:widowControl w:val="0"/>
        <w:spacing w:before="1" w:after="0" w:line="240" w:lineRule="auto"/>
        <w:jc w:val="both"/>
        <w:rPr>
          <w:rFonts w:ascii="Arial" w:eastAsia="Arial" w:hAnsi="Arial" w:cs="Arial"/>
          <w:color w:val="auto"/>
          <w:sz w:val="22"/>
        </w:rPr>
      </w:pPr>
    </w:p>
    <w:p w14:paraId="413AC4BA" w14:textId="77777777" w:rsidR="00D51839" w:rsidRDefault="00D51839" w:rsidP="00D51839">
      <w:pPr>
        <w:widowControl w:val="0"/>
        <w:spacing w:before="1" w:after="0" w:line="240" w:lineRule="auto"/>
        <w:jc w:val="both"/>
        <w:rPr>
          <w:rFonts w:ascii="Arial" w:eastAsia="Arial" w:hAnsi="Arial" w:cs="Arial"/>
          <w:color w:val="auto"/>
          <w:sz w:val="22"/>
        </w:rPr>
      </w:pPr>
    </w:p>
    <w:p w14:paraId="5C7D2C90" w14:textId="77777777" w:rsidR="00D51839" w:rsidRDefault="00D51839" w:rsidP="00D51839">
      <w:pPr>
        <w:widowControl w:val="0"/>
        <w:spacing w:before="1" w:after="0" w:line="240" w:lineRule="auto"/>
        <w:jc w:val="both"/>
        <w:rPr>
          <w:rFonts w:ascii="Arial" w:eastAsia="Arial" w:hAnsi="Arial" w:cs="Arial"/>
          <w:color w:val="auto"/>
          <w:sz w:val="22"/>
        </w:rPr>
      </w:pPr>
    </w:p>
    <w:p w14:paraId="6FB77FCF" w14:textId="77777777" w:rsidR="00D51839" w:rsidRDefault="00D51839" w:rsidP="00D51839">
      <w:pPr>
        <w:widowControl w:val="0"/>
        <w:spacing w:before="1" w:after="0" w:line="240" w:lineRule="auto"/>
        <w:jc w:val="both"/>
        <w:rPr>
          <w:rFonts w:ascii="Arial" w:eastAsia="Arial" w:hAnsi="Arial" w:cs="Arial"/>
          <w:color w:val="auto"/>
          <w:sz w:val="22"/>
        </w:rPr>
      </w:pPr>
    </w:p>
    <w:p w14:paraId="73AAE95E" w14:textId="77777777" w:rsidR="00D51839" w:rsidRDefault="00D51839" w:rsidP="00D51839">
      <w:pPr>
        <w:widowControl w:val="0"/>
        <w:spacing w:before="1" w:after="0" w:line="240" w:lineRule="auto"/>
        <w:jc w:val="both"/>
        <w:rPr>
          <w:rFonts w:ascii="Arial" w:eastAsia="Arial" w:hAnsi="Arial" w:cs="Arial"/>
          <w:color w:val="auto"/>
          <w:sz w:val="22"/>
        </w:rPr>
      </w:pPr>
    </w:p>
    <w:p w14:paraId="4C51E123" w14:textId="77777777" w:rsidR="00D51839" w:rsidRDefault="00D51839" w:rsidP="00D51839">
      <w:pPr>
        <w:widowControl w:val="0"/>
        <w:spacing w:before="1" w:after="0" w:line="240" w:lineRule="auto"/>
        <w:jc w:val="both"/>
        <w:rPr>
          <w:rFonts w:ascii="Arial" w:eastAsia="Arial" w:hAnsi="Arial" w:cs="Arial"/>
          <w:color w:val="auto"/>
          <w:sz w:val="22"/>
        </w:rPr>
      </w:pPr>
    </w:p>
    <w:p w14:paraId="5DA30627" w14:textId="77777777" w:rsidR="00D51839" w:rsidRDefault="00D51839" w:rsidP="00D51839">
      <w:pPr>
        <w:widowControl w:val="0"/>
        <w:spacing w:before="1" w:after="0" w:line="240" w:lineRule="auto"/>
        <w:jc w:val="both"/>
        <w:rPr>
          <w:rFonts w:ascii="Arial" w:eastAsia="Arial" w:hAnsi="Arial" w:cs="Arial"/>
          <w:color w:val="auto"/>
          <w:sz w:val="22"/>
        </w:rPr>
      </w:pPr>
    </w:p>
    <w:p w14:paraId="16B94477" w14:textId="77777777" w:rsidR="00D51839" w:rsidRDefault="00D51839" w:rsidP="00D51839">
      <w:pPr>
        <w:widowControl w:val="0"/>
        <w:spacing w:before="1" w:after="0" w:line="240" w:lineRule="auto"/>
        <w:jc w:val="both"/>
        <w:rPr>
          <w:rFonts w:ascii="Arial" w:eastAsia="Arial" w:hAnsi="Arial" w:cs="Arial"/>
          <w:color w:val="auto"/>
          <w:sz w:val="22"/>
        </w:rPr>
      </w:pPr>
    </w:p>
    <w:p w14:paraId="5750867A" w14:textId="77777777" w:rsidR="00D51839" w:rsidRDefault="00D51839" w:rsidP="00D51839">
      <w:pPr>
        <w:widowControl w:val="0"/>
        <w:spacing w:before="1" w:after="0" w:line="240" w:lineRule="auto"/>
        <w:jc w:val="both"/>
        <w:rPr>
          <w:rFonts w:ascii="Arial" w:eastAsia="Arial" w:hAnsi="Arial" w:cs="Arial"/>
          <w:color w:val="auto"/>
          <w:sz w:val="22"/>
        </w:rPr>
      </w:pPr>
    </w:p>
    <w:p w14:paraId="1280E4F2" w14:textId="77777777" w:rsidR="00D51839" w:rsidRDefault="00D51839" w:rsidP="00D51839">
      <w:pPr>
        <w:widowControl w:val="0"/>
        <w:spacing w:before="1" w:after="0" w:line="240" w:lineRule="auto"/>
        <w:jc w:val="both"/>
        <w:rPr>
          <w:rFonts w:ascii="Arial" w:eastAsia="Arial" w:hAnsi="Arial" w:cs="Arial"/>
          <w:color w:val="auto"/>
          <w:sz w:val="22"/>
        </w:rPr>
      </w:pPr>
    </w:p>
    <w:p w14:paraId="0C6CC920" w14:textId="77777777" w:rsidR="00D51839" w:rsidRDefault="00D51839" w:rsidP="00D51839">
      <w:pPr>
        <w:widowControl w:val="0"/>
        <w:spacing w:before="1" w:after="0" w:line="240" w:lineRule="auto"/>
        <w:jc w:val="both"/>
        <w:rPr>
          <w:rFonts w:ascii="Arial" w:eastAsia="Arial" w:hAnsi="Arial" w:cs="Arial"/>
          <w:color w:val="auto"/>
          <w:sz w:val="22"/>
        </w:rPr>
      </w:pPr>
    </w:p>
    <w:p w14:paraId="10BBBAA4" w14:textId="77777777" w:rsidR="00D51839" w:rsidRDefault="00D51839" w:rsidP="00D51839">
      <w:pPr>
        <w:widowControl w:val="0"/>
        <w:spacing w:before="1" w:after="0" w:line="240" w:lineRule="auto"/>
        <w:jc w:val="both"/>
        <w:rPr>
          <w:rFonts w:ascii="Arial" w:eastAsia="Arial" w:hAnsi="Arial" w:cs="Arial"/>
          <w:color w:val="auto"/>
          <w:sz w:val="22"/>
        </w:rPr>
      </w:pPr>
    </w:p>
    <w:p w14:paraId="012887C8" w14:textId="77777777" w:rsidR="00D51839" w:rsidRDefault="00D51839" w:rsidP="00D51839">
      <w:pPr>
        <w:widowControl w:val="0"/>
        <w:spacing w:before="1" w:after="0" w:line="240" w:lineRule="auto"/>
        <w:jc w:val="both"/>
        <w:rPr>
          <w:rFonts w:ascii="Arial" w:eastAsia="Arial" w:hAnsi="Arial" w:cs="Arial"/>
          <w:color w:val="auto"/>
          <w:sz w:val="22"/>
        </w:rPr>
      </w:pPr>
    </w:p>
    <w:p w14:paraId="5A91FC4D" w14:textId="77777777" w:rsidR="00D51839" w:rsidRDefault="00D51839" w:rsidP="00D51839">
      <w:pPr>
        <w:widowControl w:val="0"/>
        <w:spacing w:before="1" w:after="0" w:line="240" w:lineRule="auto"/>
        <w:jc w:val="both"/>
        <w:rPr>
          <w:rFonts w:ascii="Arial" w:eastAsia="Arial" w:hAnsi="Arial" w:cs="Arial"/>
          <w:color w:val="auto"/>
          <w:sz w:val="22"/>
        </w:rPr>
      </w:pPr>
    </w:p>
    <w:p w14:paraId="7CFB36F3" w14:textId="77777777" w:rsidR="00D51839" w:rsidRDefault="00D51839" w:rsidP="00D51839">
      <w:pPr>
        <w:widowControl w:val="0"/>
        <w:spacing w:before="1" w:after="0" w:line="240" w:lineRule="auto"/>
        <w:jc w:val="both"/>
        <w:rPr>
          <w:rFonts w:ascii="Arial" w:eastAsia="Arial" w:hAnsi="Arial" w:cs="Arial"/>
          <w:color w:val="auto"/>
          <w:sz w:val="22"/>
        </w:rPr>
      </w:pPr>
    </w:p>
    <w:p w14:paraId="3285B878" w14:textId="77777777" w:rsidR="00D51839" w:rsidRDefault="00D51839" w:rsidP="00D51839">
      <w:pPr>
        <w:widowControl w:val="0"/>
        <w:spacing w:before="1" w:after="0" w:line="240" w:lineRule="auto"/>
        <w:jc w:val="both"/>
        <w:rPr>
          <w:rFonts w:ascii="Arial" w:eastAsia="Arial" w:hAnsi="Arial" w:cs="Arial"/>
          <w:color w:val="auto"/>
          <w:sz w:val="22"/>
        </w:rPr>
      </w:pPr>
    </w:p>
    <w:p w14:paraId="31D60EC0" w14:textId="77777777" w:rsidR="00D51839" w:rsidRDefault="00D51839" w:rsidP="00D51839">
      <w:pPr>
        <w:widowControl w:val="0"/>
        <w:spacing w:before="1" w:after="0" w:line="240" w:lineRule="auto"/>
        <w:jc w:val="both"/>
        <w:rPr>
          <w:rFonts w:ascii="Arial" w:eastAsia="Arial" w:hAnsi="Arial" w:cs="Arial"/>
          <w:color w:val="auto"/>
          <w:sz w:val="22"/>
        </w:rPr>
      </w:pPr>
    </w:p>
    <w:p w14:paraId="426891D9" w14:textId="77777777" w:rsidR="00D51839" w:rsidRDefault="00D51839" w:rsidP="00D51839">
      <w:pPr>
        <w:widowControl w:val="0"/>
        <w:spacing w:before="1" w:after="0" w:line="240" w:lineRule="auto"/>
        <w:jc w:val="both"/>
        <w:rPr>
          <w:rFonts w:ascii="Arial" w:eastAsia="Arial" w:hAnsi="Arial" w:cs="Arial"/>
          <w:color w:val="auto"/>
          <w:sz w:val="22"/>
        </w:rPr>
      </w:pPr>
    </w:p>
    <w:p w14:paraId="3A66B20F" w14:textId="77777777" w:rsidR="00D51839" w:rsidRDefault="00D51839" w:rsidP="00D51839">
      <w:pPr>
        <w:widowControl w:val="0"/>
        <w:spacing w:before="1" w:after="0" w:line="240" w:lineRule="auto"/>
        <w:jc w:val="both"/>
        <w:rPr>
          <w:rFonts w:ascii="Arial" w:eastAsia="Arial" w:hAnsi="Arial" w:cs="Arial"/>
          <w:color w:val="auto"/>
          <w:sz w:val="22"/>
        </w:rPr>
      </w:pPr>
    </w:p>
    <w:p w14:paraId="7D1845DB" w14:textId="01E8346A" w:rsidR="00D51839" w:rsidRDefault="00D51839" w:rsidP="00D51839">
      <w:pPr>
        <w:pStyle w:val="EITUMHeading1"/>
        <w:numPr>
          <w:ilvl w:val="0"/>
          <w:numId w:val="0"/>
        </w:numPr>
        <w:ind w:left="360" w:hanging="360"/>
      </w:pPr>
      <w:bookmarkStart w:id="62" w:name="_Toc205457872"/>
      <w:bookmarkStart w:id="63" w:name="_Toc206684775"/>
      <w:r w:rsidRPr="00E15E69">
        <w:lastRenderedPageBreak/>
        <w:t>Annex</w:t>
      </w:r>
      <w:bookmarkEnd w:id="62"/>
      <w:r w:rsidR="00A53768">
        <w:t xml:space="preserve"> </w:t>
      </w:r>
      <w:r w:rsidR="00A53768" w:rsidRPr="00A53768">
        <w:t>1.2. Service Agreement for 2026-2027</w:t>
      </w:r>
      <w:bookmarkEnd w:id="63"/>
    </w:p>
    <w:p w14:paraId="676242A3" w14:textId="77777777" w:rsidR="00D51839" w:rsidRPr="004C3A6D" w:rsidRDefault="00D51839" w:rsidP="00D51839">
      <w:pPr>
        <w:spacing w:line="276" w:lineRule="auto"/>
        <w:contextualSpacing/>
        <w:jc w:val="center"/>
        <w:rPr>
          <w:rFonts w:eastAsia="Times New Roman" w:cs="Calibri Light"/>
          <w:b/>
          <w:color w:val="034EA2"/>
          <w:spacing w:val="-10"/>
          <w:kern w:val="28"/>
          <w:sz w:val="22"/>
          <w:u w:val="single"/>
          <w:lang w:val="hu-HU"/>
        </w:rPr>
      </w:pPr>
      <w:bookmarkStart w:id="64" w:name="_Hlk141353945"/>
    </w:p>
    <w:p w14:paraId="3FA348C6" w14:textId="77777777" w:rsidR="00D51839" w:rsidRPr="004C3A6D" w:rsidRDefault="00D51839" w:rsidP="00D51839">
      <w:pPr>
        <w:spacing w:line="276" w:lineRule="auto"/>
        <w:contextualSpacing/>
        <w:jc w:val="center"/>
        <w:rPr>
          <w:rFonts w:eastAsia="Times New Roman" w:cs="Times New Roman"/>
          <w:b/>
          <w:color w:val="034EA2"/>
          <w:spacing w:val="-10"/>
          <w:kern w:val="28"/>
          <w:sz w:val="28"/>
          <w:szCs w:val="56"/>
          <w:u w:val="single"/>
          <w:lang w:val="hu-HU"/>
        </w:rPr>
      </w:pPr>
      <w:r w:rsidRPr="004C3A6D">
        <w:rPr>
          <w:rFonts w:eastAsia="Times New Roman" w:cs="Times New Roman"/>
          <w:b/>
          <w:color w:val="034EA2"/>
          <w:spacing w:val="-10"/>
          <w:kern w:val="28"/>
          <w:sz w:val="28"/>
          <w:szCs w:val="56"/>
          <w:u w:val="single"/>
          <w:lang w:val="hu-HU"/>
        </w:rPr>
        <w:t>SERVICE AGREEMENT</w:t>
      </w:r>
    </w:p>
    <w:p w14:paraId="762B9A6F" w14:textId="77777777" w:rsidR="00D51839" w:rsidRDefault="00D51839" w:rsidP="00D51839">
      <w:pPr>
        <w:spacing w:before="240" w:after="0" w:line="276" w:lineRule="auto"/>
        <w:ind w:right="-1"/>
        <w:jc w:val="both"/>
        <w:rPr>
          <w:rFonts w:eastAsia="MS Mincho" w:cs="Calibri Light"/>
          <w:b/>
          <w:color w:val="229D01"/>
          <w:sz w:val="22"/>
          <w:lang w:val="hu-HU" w:eastAsia="ja-JP"/>
        </w:rPr>
      </w:pPr>
    </w:p>
    <w:p w14:paraId="01D0919C" w14:textId="77777777" w:rsidR="00D51839" w:rsidRDefault="00D51839" w:rsidP="00D51839">
      <w:pPr>
        <w:spacing w:before="240" w:after="0" w:line="276" w:lineRule="auto"/>
        <w:ind w:right="-1"/>
        <w:jc w:val="both"/>
        <w:rPr>
          <w:rFonts w:eastAsia="MS Mincho" w:cs="Calibri Light"/>
          <w:b/>
          <w:color w:val="229D01"/>
          <w:sz w:val="22"/>
          <w:lang w:eastAsia="ja-JP"/>
        </w:rPr>
      </w:pPr>
    </w:p>
    <w:p w14:paraId="396EB5C2" w14:textId="77777777" w:rsidR="00D51839" w:rsidRPr="0069653C" w:rsidRDefault="00D51839" w:rsidP="00D51839">
      <w:pPr>
        <w:spacing w:before="240" w:after="0" w:line="276" w:lineRule="auto"/>
        <w:ind w:right="-1"/>
        <w:jc w:val="both"/>
        <w:rPr>
          <w:rFonts w:eastAsia="Calibri" w:cs="Calibri"/>
          <w:b/>
          <w:bCs/>
          <w:color w:val="229D01"/>
          <w:sz w:val="22"/>
        </w:rPr>
      </w:pPr>
      <w:r w:rsidRPr="0069653C">
        <w:rPr>
          <w:rFonts w:eastAsia="Calibri" w:cs="Calibri"/>
          <w:b/>
          <w:bCs/>
          <w:color w:val="229D01"/>
          <w:sz w:val="22"/>
        </w:rPr>
        <w:t>This Service Agreement (“Agreement”) is hereby made by and between:</w:t>
      </w:r>
    </w:p>
    <w:p w14:paraId="673FB422" w14:textId="77777777" w:rsidR="00D51839" w:rsidRPr="0069653C" w:rsidRDefault="00D51839" w:rsidP="00D51839">
      <w:pPr>
        <w:spacing w:before="240" w:after="0" w:line="276" w:lineRule="auto"/>
        <w:ind w:right="-1"/>
        <w:jc w:val="both"/>
        <w:rPr>
          <w:rFonts w:eastAsia="Calibri" w:cs="Times New Roman"/>
          <w:b/>
          <w:bCs/>
          <w:color w:val="auto"/>
          <w:sz w:val="22"/>
        </w:rPr>
      </w:pPr>
    </w:p>
    <w:bookmarkEnd w:id="64"/>
    <w:p w14:paraId="11EE7956"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r w:rsidRPr="00ED36B4">
        <w:rPr>
          <w:rFonts w:eastAsia="Times New Roman" w:cs="Calibri Light"/>
          <w:b/>
          <w:bCs/>
          <w:color w:val="auto"/>
          <w:sz w:val="22"/>
          <w:lang w:eastAsia="en-GB"/>
        </w:rPr>
        <w:t>EIT KIC URBAN MOBILITY S.L.U,</w:t>
      </w:r>
      <w:r w:rsidRPr="00ED36B4">
        <w:rPr>
          <w:rFonts w:eastAsia="Times New Roman" w:cs="Calibri Light"/>
          <w:b/>
          <w:bCs/>
          <w:color w:val="229D01"/>
          <w:sz w:val="22"/>
          <w:lang w:eastAsia="en-GB"/>
        </w:rPr>
        <w:t xml:space="preserve"> </w:t>
      </w:r>
      <w:r w:rsidRPr="00ED36B4">
        <w:rPr>
          <w:rFonts w:eastAsia="Times New Roman" w:cs="Calibri Light"/>
          <w:color w:val="auto"/>
          <w:sz w:val="22"/>
          <w:lang w:eastAsia="en-GB"/>
        </w:rPr>
        <w:t>a private limited company, having its registered office and place of business at Pamplona 104, 08018, Barcelona, Spain, with VAT number B67513630, legally represented herein by Francisco Ibáñez, acting as CFO of the company (hereinafter referred to as “</w:t>
      </w:r>
      <w:r w:rsidRPr="00ED36B4">
        <w:rPr>
          <w:rFonts w:eastAsia="Times New Roman" w:cs="Calibri Light"/>
          <w:b/>
          <w:bCs/>
          <w:color w:val="auto"/>
          <w:sz w:val="22"/>
          <w:lang w:eastAsia="en-GB"/>
        </w:rPr>
        <w:t>EIT UM</w:t>
      </w:r>
      <w:r w:rsidRPr="00ED36B4">
        <w:rPr>
          <w:rFonts w:eastAsia="Times New Roman" w:cs="Calibri Light"/>
          <w:color w:val="auto"/>
          <w:sz w:val="22"/>
          <w:lang w:eastAsia="en-GB"/>
        </w:rPr>
        <w:t>”) </w:t>
      </w:r>
    </w:p>
    <w:p w14:paraId="04B18AD3" w14:textId="77777777" w:rsidR="00D51839" w:rsidRPr="00ED36B4" w:rsidRDefault="00D51839" w:rsidP="00D51839">
      <w:pPr>
        <w:spacing w:after="0" w:line="240" w:lineRule="auto"/>
        <w:ind w:left="420" w:right="-15" w:hanging="420"/>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and </w:t>
      </w:r>
    </w:p>
    <w:p w14:paraId="2A276512"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445D21A8"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r w:rsidRPr="00ED36B4">
        <w:rPr>
          <w:rFonts w:eastAsia="Times New Roman" w:cs="Calibri Light"/>
          <w:b/>
          <w:bCs/>
          <w:color w:val="000000"/>
          <w:sz w:val="22"/>
          <w:shd w:val="clear" w:color="auto" w:fill="FFFF00"/>
          <w:lang w:val="hu-HU" w:eastAsia="en-GB"/>
        </w:rPr>
        <w:t>[·]</w:t>
      </w:r>
      <w:r w:rsidRPr="00ED36B4">
        <w:rPr>
          <w:rFonts w:eastAsia="Times New Roman" w:cs="Calibri Light"/>
          <w:b/>
          <w:bCs/>
          <w:color w:val="229D01"/>
          <w:sz w:val="22"/>
          <w:shd w:val="clear" w:color="auto" w:fill="FFFFFF"/>
          <w:lang w:val="hu-HU" w:eastAsia="en-GB"/>
        </w:rPr>
        <w:t xml:space="preserve"> </w:t>
      </w:r>
      <w:r w:rsidRPr="00ED36B4">
        <w:rPr>
          <w:rFonts w:eastAsia="Times New Roman" w:cs="Calibri Light"/>
          <w:color w:val="000000"/>
          <w:sz w:val="22"/>
          <w:shd w:val="clear" w:color="auto" w:fill="FFFFFF"/>
          <w:lang w:eastAsia="en-GB"/>
        </w:rPr>
        <w:t xml:space="preserve">a private limited company, having its registered office and place of business at </w:t>
      </w:r>
      <w:r w:rsidRPr="00ED36B4">
        <w:rPr>
          <w:rFonts w:eastAsia="Times New Roman" w:cs="Calibri Light"/>
          <w:color w:val="000000"/>
          <w:sz w:val="22"/>
          <w:shd w:val="clear" w:color="auto" w:fill="FFFF00"/>
          <w:lang w:val="hu-HU" w:eastAsia="en-GB"/>
        </w:rPr>
        <w:t>[·]</w:t>
      </w:r>
      <w:r w:rsidRPr="00ED36B4">
        <w:rPr>
          <w:rFonts w:eastAsia="Times New Roman" w:cs="Calibri Light"/>
          <w:color w:val="000000"/>
          <w:sz w:val="22"/>
          <w:shd w:val="clear" w:color="auto" w:fill="FFFFFF"/>
          <w:lang w:eastAsia="en-GB"/>
        </w:rPr>
        <w:t xml:space="preserve">, with company registration number </w:t>
      </w:r>
      <w:r w:rsidRPr="00ED36B4">
        <w:rPr>
          <w:rFonts w:eastAsia="Times New Roman" w:cs="Calibri Light"/>
          <w:color w:val="000000"/>
          <w:sz w:val="22"/>
          <w:shd w:val="clear" w:color="auto" w:fill="FFFF00"/>
          <w:lang w:val="hu-HU" w:eastAsia="en-GB"/>
        </w:rPr>
        <w:t>[·]</w:t>
      </w:r>
      <w:r w:rsidRPr="00ED36B4">
        <w:rPr>
          <w:rFonts w:eastAsia="Times New Roman" w:cs="Calibri Light"/>
          <w:color w:val="000000"/>
          <w:sz w:val="22"/>
          <w:shd w:val="clear" w:color="auto" w:fill="FFFFFF"/>
          <w:lang w:eastAsia="en-GB"/>
        </w:rPr>
        <w:t xml:space="preserve"> and VAT number </w:t>
      </w:r>
      <w:r w:rsidRPr="00ED36B4">
        <w:rPr>
          <w:rFonts w:eastAsia="Times New Roman" w:cs="Calibri Light"/>
          <w:color w:val="000000"/>
          <w:sz w:val="22"/>
          <w:shd w:val="clear" w:color="auto" w:fill="FFFF00"/>
          <w:lang w:val="hu-HU" w:eastAsia="en-GB"/>
        </w:rPr>
        <w:t>[·]</w:t>
      </w:r>
      <w:r w:rsidRPr="00ED36B4">
        <w:rPr>
          <w:rFonts w:eastAsia="Times New Roman" w:cs="Calibri Light"/>
          <w:color w:val="000000"/>
          <w:sz w:val="22"/>
          <w:shd w:val="clear" w:color="auto" w:fill="FFFFFF"/>
          <w:lang w:eastAsia="en-GB"/>
        </w:rPr>
        <w:t xml:space="preserve"> legally represented herein by </w:t>
      </w:r>
      <w:r w:rsidRPr="00ED36B4">
        <w:rPr>
          <w:rFonts w:eastAsia="Times New Roman" w:cs="Calibri Light"/>
          <w:color w:val="000000"/>
          <w:sz w:val="22"/>
          <w:shd w:val="clear" w:color="auto" w:fill="FFFF00"/>
          <w:lang w:eastAsia="en-GB"/>
        </w:rPr>
        <w:t>[·]</w:t>
      </w:r>
      <w:r w:rsidRPr="00ED36B4">
        <w:rPr>
          <w:rFonts w:eastAsia="Times New Roman" w:cs="Calibri Light"/>
          <w:color w:val="000000"/>
          <w:sz w:val="22"/>
          <w:shd w:val="clear" w:color="auto" w:fill="FFFFFF"/>
          <w:lang w:eastAsia="en-GB"/>
        </w:rPr>
        <w:t xml:space="preserve"> acting as legal representative (hereinafter referred to as </w:t>
      </w:r>
      <w:r w:rsidRPr="00ED36B4">
        <w:rPr>
          <w:rFonts w:eastAsia="Times New Roman" w:cs="Calibri Light"/>
          <w:color w:val="000000"/>
          <w:sz w:val="22"/>
          <w:shd w:val="clear" w:color="auto" w:fill="FFFFFF"/>
          <w:lang w:val="hu-HU" w:eastAsia="en-GB"/>
        </w:rPr>
        <w:t xml:space="preserve">the </w:t>
      </w:r>
      <w:r w:rsidRPr="00ED36B4">
        <w:rPr>
          <w:rFonts w:eastAsia="Times New Roman" w:cs="Calibri Light"/>
          <w:color w:val="000000"/>
          <w:sz w:val="22"/>
          <w:shd w:val="clear" w:color="auto" w:fill="FFFFFF"/>
          <w:lang w:eastAsia="en-GB"/>
        </w:rPr>
        <w:t>“</w:t>
      </w:r>
      <w:r w:rsidRPr="00ED36B4">
        <w:rPr>
          <w:rFonts w:eastAsia="Times New Roman" w:cs="Calibri Light"/>
          <w:b/>
          <w:bCs/>
          <w:color w:val="000000"/>
          <w:sz w:val="22"/>
          <w:shd w:val="clear" w:color="auto" w:fill="FFFFFF"/>
          <w:lang w:val="hu-HU" w:eastAsia="en-GB"/>
        </w:rPr>
        <w:t>Supplier</w:t>
      </w:r>
      <w:r w:rsidRPr="00ED36B4">
        <w:rPr>
          <w:rFonts w:eastAsia="Times New Roman" w:cs="Calibri Light"/>
          <w:color w:val="000000"/>
          <w:sz w:val="22"/>
          <w:shd w:val="clear" w:color="auto" w:fill="FFFFFF"/>
          <w:lang w:val="hu-HU" w:eastAsia="en-GB"/>
        </w:rPr>
        <w:t>”). </w:t>
      </w:r>
      <w:r w:rsidRPr="00ED36B4">
        <w:rPr>
          <w:rFonts w:eastAsia="Times New Roman" w:cs="Calibri Light"/>
          <w:color w:val="000000"/>
          <w:sz w:val="22"/>
          <w:lang w:eastAsia="en-GB"/>
        </w:rPr>
        <w:t> </w:t>
      </w:r>
    </w:p>
    <w:p w14:paraId="43E0F3C3"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27F44F7E"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Hereinafter jointly referred to as the “</w:t>
      </w:r>
      <w:r w:rsidRPr="00ED36B4">
        <w:rPr>
          <w:rFonts w:eastAsia="Times New Roman" w:cs="Calibri Light"/>
          <w:b/>
          <w:bCs/>
          <w:color w:val="auto"/>
          <w:sz w:val="22"/>
          <w:lang w:eastAsia="en-GB"/>
        </w:rPr>
        <w:t>Parties”</w:t>
      </w:r>
      <w:r w:rsidRPr="00ED36B4">
        <w:rPr>
          <w:rFonts w:eastAsia="Times New Roman" w:cs="Calibri Light"/>
          <w:color w:val="auto"/>
          <w:sz w:val="22"/>
          <w:lang w:eastAsia="en-GB"/>
        </w:rPr>
        <w:t xml:space="preserve"> or individually as a “</w:t>
      </w:r>
      <w:r w:rsidRPr="00ED36B4">
        <w:rPr>
          <w:rFonts w:eastAsia="Times New Roman" w:cs="Calibri Light"/>
          <w:b/>
          <w:bCs/>
          <w:color w:val="auto"/>
          <w:sz w:val="22"/>
          <w:lang w:eastAsia="en-GB"/>
        </w:rPr>
        <w:t>Party</w:t>
      </w:r>
      <w:r w:rsidRPr="00ED36B4">
        <w:rPr>
          <w:rFonts w:eastAsia="Times New Roman" w:cs="Calibri Light"/>
          <w:color w:val="auto"/>
          <w:sz w:val="22"/>
          <w:lang w:eastAsia="en-GB"/>
        </w:rPr>
        <w:t>”. </w:t>
      </w:r>
    </w:p>
    <w:p w14:paraId="629A4B78"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544E2B5C" w14:textId="77777777" w:rsidR="00D51839" w:rsidRPr="00ED36B4" w:rsidRDefault="00D51839" w:rsidP="00D51839">
      <w:pPr>
        <w:spacing w:after="0" w:line="240" w:lineRule="auto"/>
        <w:textAlignment w:val="baseline"/>
        <w:rPr>
          <w:rFonts w:ascii="Segoe UI" w:eastAsia="Times New Roman" w:hAnsi="Segoe UI" w:cs="Segoe UI"/>
          <w:color w:val="auto"/>
          <w:sz w:val="18"/>
          <w:szCs w:val="18"/>
          <w:lang w:eastAsia="en-GB"/>
        </w:rPr>
      </w:pPr>
      <w:r w:rsidRPr="00ED36B4">
        <w:rPr>
          <w:rFonts w:eastAsia="Times New Roman" w:cs="Calibri Light"/>
          <w:b/>
          <w:bCs/>
          <w:color w:val="229D01"/>
          <w:sz w:val="22"/>
          <w:lang w:eastAsia="en-GB"/>
        </w:rPr>
        <w:t>WHEREAS:</w:t>
      </w:r>
      <w:r w:rsidRPr="00ED36B4">
        <w:rPr>
          <w:rFonts w:eastAsia="Times New Roman" w:cs="Calibri Light"/>
          <w:color w:val="229D01"/>
          <w:sz w:val="22"/>
          <w:lang w:eastAsia="en-GB"/>
        </w:rPr>
        <w:t> </w:t>
      </w:r>
    </w:p>
    <w:p w14:paraId="55E2506C" w14:textId="77777777" w:rsidR="00D51839" w:rsidRDefault="00D51839" w:rsidP="00D51839">
      <w:pPr>
        <w:numPr>
          <w:ilvl w:val="0"/>
          <w:numId w:val="49"/>
        </w:numPr>
        <w:spacing w:after="0" w:line="240" w:lineRule="auto"/>
        <w:ind w:left="709"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EIT UM is an entity that aims to encourage positive changes in the way people move around cities in order to make them more liveable places by creating systemic solutions that will move more people around the city more efficiently and free up public space, ringing all key players in urban mobility together to avoid fragmentation, and engaging cities and citizens from the beginning, giving them the opportunity to become true agents of change. </w:t>
      </w:r>
    </w:p>
    <w:p w14:paraId="66341D91" w14:textId="77777777" w:rsidR="00D51839" w:rsidRPr="00ED36B4" w:rsidRDefault="00D51839" w:rsidP="00D51839">
      <w:pPr>
        <w:spacing w:after="0" w:line="240" w:lineRule="auto"/>
        <w:ind w:left="709"/>
        <w:jc w:val="both"/>
        <w:textAlignment w:val="baseline"/>
        <w:rPr>
          <w:rFonts w:eastAsia="Times New Roman" w:cs="Calibri Light"/>
          <w:color w:val="auto"/>
          <w:sz w:val="22"/>
          <w:lang w:eastAsia="en-GB"/>
        </w:rPr>
      </w:pPr>
    </w:p>
    <w:p w14:paraId="785F37D0" w14:textId="77777777" w:rsidR="00D51839" w:rsidRPr="00ED36B4" w:rsidRDefault="00D51839" w:rsidP="00D51839">
      <w:pPr>
        <w:numPr>
          <w:ilvl w:val="0"/>
          <w:numId w:val="50"/>
        </w:numPr>
        <w:spacing w:after="0" w:line="240" w:lineRule="auto"/>
        <w:ind w:left="709" w:firstLine="0"/>
        <w:jc w:val="both"/>
        <w:textAlignment w:val="baseline"/>
        <w:rPr>
          <w:rFonts w:eastAsia="Times New Roman" w:cs="Calibri Light"/>
          <w:color w:val="auto"/>
          <w:sz w:val="24"/>
          <w:szCs w:val="24"/>
          <w:lang w:eastAsia="en-GB"/>
        </w:rPr>
      </w:pPr>
      <w:r w:rsidRPr="00ED36B4">
        <w:rPr>
          <w:rFonts w:eastAsia="Times New Roman" w:cs="Calibri Light"/>
          <w:color w:val="auto"/>
          <w:sz w:val="22"/>
          <w:lang w:eastAsia="en-GB"/>
        </w:rPr>
        <w:t xml:space="preserve">EIT UM has launched a tender for the provision of </w:t>
      </w:r>
      <w:r w:rsidRPr="00ED36B4">
        <w:rPr>
          <w:rFonts w:eastAsia="Times New Roman" w:cs="Calibri Light"/>
          <w:color w:val="auto"/>
          <w:sz w:val="22"/>
          <w:shd w:val="clear" w:color="auto" w:fill="FFFF00"/>
          <w:lang w:eastAsia="en-GB"/>
        </w:rPr>
        <w:t>[...]</w:t>
      </w:r>
      <w:r w:rsidRPr="00ED36B4">
        <w:rPr>
          <w:rFonts w:eastAsia="Times New Roman" w:cs="Calibri Light"/>
          <w:color w:val="auto"/>
          <w:sz w:val="22"/>
          <w:lang w:eastAsia="en-GB"/>
        </w:rPr>
        <w:t xml:space="preserve"> (the "</w:t>
      </w:r>
      <w:r w:rsidRPr="00ED36B4">
        <w:rPr>
          <w:rFonts w:eastAsia="Times New Roman" w:cs="Calibri Light"/>
          <w:b/>
          <w:bCs/>
          <w:color w:val="auto"/>
          <w:sz w:val="22"/>
          <w:lang w:eastAsia="en-GB"/>
        </w:rPr>
        <w:t>Tender</w:t>
      </w:r>
      <w:r w:rsidRPr="00ED36B4">
        <w:rPr>
          <w:rFonts w:eastAsia="Times New Roman" w:cs="Calibri Light"/>
          <w:color w:val="auto"/>
          <w:sz w:val="22"/>
          <w:lang w:eastAsia="en-GB"/>
        </w:rPr>
        <w:t>"). </w:t>
      </w:r>
    </w:p>
    <w:p w14:paraId="77ED153A" w14:textId="77777777" w:rsidR="00D51839" w:rsidRPr="00ED36B4" w:rsidRDefault="00D51839" w:rsidP="00D51839">
      <w:pPr>
        <w:spacing w:after="0" w:line="240" w:lineRule="auto"/>
        <w:ind w:left="709"/>
        <w:jc w:val="both"/>
        <w:textAlignment w:val="baseline"/>
        <w:rPr>
          <w:rFonts w:eastAsia="Times New Roman" w:cs="Calibri Light"/>
          <w:color w:val="auto"/>
          <w:sz w:val="24"/>
          <w:szCs w:val="24"/>
          <w:lang w:eastAsia="en-GB"/>
        </w:rPr>
      </w:pPr>
    </w:p>
    <w:p w14:paraId="5D545D36" w14:textId="77777777" w:rsidR="00D51839" w:rsidRDefault="00D51839" w:rsidP="00D51839">
      <w:pPr>
        <w:numPr>
          <w:ilvl w:val="0"/>
          <w:numId w:val="51"/>
        </w:numPr>
        <w:spacing w:after="0" w:line="240" w:lineRule="auto"/>
        <w:ind w:left="709"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is a company specialized in the field of the Tender. </w:t>
      </w:r>
    </w:p>
    <w:p w14:paraId="0888C64C" w14:textId="77777777" w:rsidR="00D51839" w:rsidRPr="00ED36B4" w:rsidRDefault="00D51839" w:rsidP="00D51839">
      <w:pPr>
        <w:spacing w:after="0" w:line="240" w:lineRule="auto"/>
        <w:ind w:left="709"/>
        <w:jc w:val="both"/>
        <w:textAlignment w:val="baseline"/>
        <w:rPr>
          <w:rFonts w:eastAsia="Times New Roman" w:cs="Calibri Light"/>
          <w:color w:val="auto"/>
          <w:sz w:val="22"/>
          <w:lang w:eastAsia="en-GB"/>
        </w:rPr>
      </w:pPr>
    </w:p>
    <w:p w14:paraId="022C17BF" w14:textId="77777777" w:rsidR="00D51839" w:rsidRPr="00ED36B4" w:rsidRDefault="00D51839" w:rsidP="00D51839">
      <w:pPr>
        <w:numPr>
          <w:ilvl w:val="0"/>
          <w:numId w:val="52"/>
        </w:numPr>
        <w:spacing w:after="0" w:line="240" w:lineRule="auto"/>
        <w:ind w:left="709" w:firstLine="0"/>
        <w:jc w:val="both"/>
        <w:textAlignment w:val="baseline"/>
        <w:rPr>
          <w:rFonts w:eastAsia="Times New Roman" w:cs="Calibri Light"/>
          <w:color w:val="auto"/>
          <w:sz w:val="24"/>
          <w:szCs w:val="24"/>
          <w:lang w:eastAsia="en-GB"/>
        </w:rPr>
      </w:pPr>
      <w:r w:rsidRPr="00ED36B4">
        <w:rPr>
          <w:rFonts w:eastAsia="Times New Roman" w:cs="Calibri Light"/>
          <w:color w:val="auto"/>
          <w:sz w:val="22"/>
          <w:lang w:eastAsia="en-GB"/>
        </w:rPr>
        <w:t xml:space="preserve">Supplier has been awarded the Tender and therefore Supplier is willing and able to provide the services specified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to EIT UM (the "</w:t>
      </w:r>
      <w:r w:rsidRPr="00ED36B4">
        <w:rPr>
          <w:rFonts w:eastAsia="Times New Roman" w:cs="Calibri Light"/>
          <w:b/>
          <w:bCs/>
          <w:color w:val="auto"/>
          <w:sz w:val="22"/>
          <w:lang w:eastAsia="en-GB"/>
        </w:rPr>
        <w:t>Services</w:t>
      </w:r>
      <w:r w:rsidRPr="00ED36B4">
        <w:rPr>
          <w:rFonts w:eastAsia="Times New Roman" w:cs="Calibri Light"/>
          <w:color w:val="auto"/>
          <w:sz w:val="22"/>
          <w:lang w:eastAsia="en-GB"/>
        </w:rPr>
        <w:t>") under the terms and conditions set forth in this Agreement).  </w:t>
      </w:r>
    </w:p>
    <w:p w14:paraId="7097AE76" w14:textId="77777777" w:rsidR="00D51839" w:rsidRPr="00ED36B4" w:rsidRDefault="00D51839" w:rsidP="00D51839">
      <w:pPr>
        <w:spacing w:after="0" w:line="240" w:lineRule="auto"/>
        <w:ind w:right="-15"/>
        <w:textAlignment w:val="baseline"/>
        <w:rPr>
          <w:rFonts w:ascii="Segoe UI" w:eastAsia="Times New Roman" w:hAnsi="Segoe UI" w:cs="Segoe UI"/>
          <w:color w:val="auto"/>
          <w:sz w:val="18"/>
          <w:szCs w:val="18"/>
          <w:lang w:eastAsia="en-GB"/>
        </w:rPr>
      </w:pPr>
      <w:r w:rsidRPr="00ED36B4">
        <w:rPr>
          <w:rFonts w:eastAsia="Times New Roman" w:cs="Calibri Light"/>
          <w:color w:val="229D01"/>
          <w:sz w:val="22"/>
          <w:lang w:eastAsia="en-GB"/>
        </w:rPr>
        <w:t> </w:t>
      </w:r>
    </w:p>
    <w:p w14:paraId="060CC7EE" w14:textId="77777777" w:rsidR="00D51839" w:rsidRPr="00ED36B4" w:rsidRDefault="00D51839" w:rsidP="00D51839">
      <w:pPr>
        <w:spacing w:after="0" w:line="240" w:lineRule="auto"/>
        <w:ind w:right="-15"/>
        <w:textAlignment w:val="baseline"/>
        <w:rPr>
          <w:rFonts w:ascii="Segoe UI" w:eastAsia="Times New Roman" w:hAnsi="Segoe UI" w:cs="Segoe UI"/>
          <w:color w:val="auto"/>
          <w:sz w:val="18"/>
          <w:szCs w:val="18"/>
          <w:lang w:eastAsia="en-GB"/>
        </w:rPr>
      </w:pPr>
      <w:r w:rsidRPr="00ED36B4">
        <w:rPr>
          <w:rFonts w:eastAsia="Times New Roman" w:cs="Calibri Light"/>
          <w:color w:val="229D01"/>
          <w:sz w:val="22"/>
          <w:lang w:eastAsia="en-GB"/>
        </w:rPr>
        <w:t> </w:t>
      </w:r>
    </w:p>
    <w:p w14:paraId="335E9E99" w14:textId="77777777" w:rsidR="00D51839" w:rsidRPr="00ED36B4" w:rsidRDefault="00D51839" w:rsidP="00D51839">
      <w:pPr>
        <w:spacing w:after="0" w:line="240" w:lineRule="auto"/>
        <w:ind w:right="-15"/>
        <w:textAlignment w:val="baseline"/>
        <w:rPr>
          <w:rFonts w:ascii="Segoe UI" w:eastAsia="Times New Roman" w:hAnsi="Segoe UI" w:cs="Segoe UI"/>
          <w:color w:val="auto"/>
          <w:sz w:val="18"/>
          <w:szCs w:val="18"/>
          <w:lang w:eastAsia="en-GB"/>
        </w:rPr>
      </w:pPr>
      <w:r w:rsidRPr="00ED36B4">
        <w:rPr>
          <w:rFonts w:eastAsia="Times New Roman" w:cs="Calibri Light"/>
          <w:color w:val="229D01"/>
          <w:sz w:val="22"/>
          <w:lang w:eastAsia="en-GB"/>
        </w:rPr>
        <w:t> </w:t>
      </w:r>
    </w:p>
    <w:p w14:paraId="4FF722B5" w14:textId="77777777" w:rsidR="00D51839" w:rsidRDefault="00D51839" w:rsidP="00D51839">
      <w:pPr>
        <w:spacing w:after="0" w:line="240" w:lineRule="auto"/>
        <w:ind w:right="-15"/>
        <w:textAlignment w:val="baseline"/>
        <w:rPr>
          <w:rFonts w:eastAsia="Times New Roman" w:cs="Calibri Light"/>
          <w:color w:val="229D01"/>
          <w:sz w:val="22"/>
          <w:lang w:eastAsia="en-GB"/>
        </w:rPr>
      </w:pPr>
      <w:r w:rsidRPr="00ED36B4">
        <w:rPr>
          <w:rFonts w:eastAsia="Times New Roman" w:cs="Calibri Light"/>
          <w:b/>
          <w:bCs/>
          <w:color w:val="229D01"/>
          <w:sz w:val="22"/>
          <w:lang w:eastAsia="en-GB"/>
        </w:rPr>
        <w:t>NOW, THEREFORE, THE PARTIES HAVE AGREED AS FOLLOWS:</w:t>
      </w:r>
      <w:r w:rsidRPr="00ED36B4">
        <w:rPr>
          <w:rFonts w:eastAsia="Times New Roman" w:cs="Calibri Light"/>
          <w:color w:val="229D01"/>
          <w:sz w:val="22"/>
          <w:lang w:eastAsia="en-GB"/>
        </w:rPr>
        <w:t> </w:t>
      </w:r>
    </w:p>
    <w:p w14:paraId="56FB4C66" w14:textId="77777777" w:rsidR="00D51839" w:rsidRPr="00ED36B4" w:rsidRDefault="00D51839" w:rsidP="00D51839">
      <w:pPr>
        <w:spacing w:after="0" w:line="240" w:lineRule="auto"/>
        <w:ind w:right="-15"/>
        <w:textAlignment w:val="baseline"/>
        <w:rPr>
          <w:rFonts w:ascii="Segoe UI" w:eastAsia="Times New Roman" w:hAnsi="Segoe UI" w:cs="Segoe UI"/>
          <w:color w:val="auto"/>
          <w:sz w:val="18"/>
          <w:szCs w:val="18"/>
          <w:lang w:eastAsia="en-GB"/>
        </w:rPr>
      </w:pPr>
    </w:p>
    <w:p w14:paraId="01AECC4F" w14:textId="77777777" w:rsidR="00D51839" w:rsidRDefault="00D51839" w:rsidP="00D51839">
      <w:pPr>
        <w:numPr>
          <w:ilvl w:val="0"/>
          <w:numId w:val="53"/>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Structure of the Agreement and precedence </w:t>
      </w:r>
    </w:p>
    <w:p w14:paraId="29E0B1B7"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2C0E8A1B" w14:textId="77777777" w:rsidR="00D51839" w:rsidRDefault="00D51839" w:rsidP="00D51839">
      <w:pPr>
        <w:numPr>
          <w:ilvl w:val="0"/>
          <w:numId w:val="54"/>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This Agreement consists of the body of this Agreement and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attached to this Agreement, as well as the Tender. </w:t>
      </w:r>
    </w:p>
    <w:p w14:paraId="44D5095F"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BD55A01" w14:textId="77777777" w:rsidR="00D51839" w:rsidRDefault="00D51839" w:rsidP="00D51839">
      <w:pPr>
        <w:numPr>
          <w:ilvl w:val="0"/>
          <w:numId w:val="5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body contains standard general provisions applicable to all Services purchased by EIT UM from Supplier under this Agreement. </w:t>
      </w:r>
    </w:p>
    <w:p w14:paraId="02EA9FB3"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DFD4681" w14:textId="77777777" w:rsidR="00D51839" w:rsidRDefault="00D51839" w:rsidP="00D51839">
      <w:pPr>
        <w:numPr>
          <w:ilvl w:val="0"/>
          <w:numId w:val="5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contains the description of the Services and the time schedule for the delivery of such Services (extracted from Supplier’s Offer), as well as additional specific conditions and details adapted to the type of Services purchased by EIT UM from Supplier under this Agreement.  </w:t>
      </w:r>
    </w:p>
    <w:p w14:paraId="7886B0B5"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62360B9C" w14:textId="77777777" w:rsidR="00D51839" w:rsidRDefault="00D51839" w:rsidP="00D51839">
      <w:pPr>
        <w:numPr>
          <w:ilvl w:val="0"/>
          <w:numId w:val="57"/>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In case of discrepancy between the description of Services and time schedule in the EIT UM Tender and the description of Services and time schedule in Annex 1, the EIT UM Tender shall prevail.</w:t>
      </w:r>
      <w:r w:rsidRPr="00ED36B4">
        <w:rPr>
          <w:rFonts w:ascii="Arial" w:eastAsia="Times New Roman" w:hAnsi="Arial" w:cs="Arial"/>
          <w:color w:val="auto"/>
          <w:szCs w:val="20"/>
          <w:lang w:eastAsia="en-GB"/>
        </w:rPr>
        <w:t xml:space="preserve"> </w:t>
      </w:r>
      <w:r w:rsidRPr="00ED36B4">
        <w:rPr>
          <w:rFonts w:eastAsia="Times New Roman" w:cs="Calibri Light"/>
          <w:color w:val="auto"/>
          <w:sz w:val="22"/>
          <w:lang w:eastAsia="en-GB"/>
        </w:rPr>
        <w:t xml:space="preserve">In case of discrepancy between a provision in the body and a provision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the provision in the body shall prevail unless the deviating provision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states expressly that it is specifically agreed by both Parties as being in deviation of a specific provision of the body and refers clearly to the provision of the body concerned. </w:t>
      </w:r>
    </w:p>
    <w:p w14:paraId="4E684340"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0E8D774" w14:textId="77777777" w:rsidR="00D51839" w:rsidRDefault="00D51839" w:rsidP="00D51839">
      <w:pPr>
        <w:numPr>
          <w:ilvl w:val="0"/>
          <w:numId w:val="58"/>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Ordering of Services, non-applicability of Supplier’s (standard) terms and conditions </w:t>
      </w:r>
    </w:p>
    <w:p w14:paraId="4F9E3184"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02DE6D86" w14:textId="77777777" w:rsidR="00D51839" w:rsidRDefault="00D51839" w:rsidP="00D51839">
      <w:pPr>
        <w:numPr>
          <w:ilvl w:val="0"/>
          <w:numId w:val="5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Supplier does not commit to provide the Services exclusively to EIT UM, unless and to the extent provided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for certain specific types of Services. </w:t>
      </w:r>
    </w:p>
    <w:p w14:paraId="2A1C559E"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C0D6120" w14:textId="77777777" w:rsidR="00D51839" w:rsidRDefault="00D51839" w:rsidP="00D51839">
      <w:pPr>
        <w:numPr>
          <w:ilvl w:val="0"/>
          <w:numId w:val="60"/>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contractual relationship between EIT UM and Supplier shall solely be governed by the terms and conditions of this Agreement. EIT UM is therefore not bound by and expressly rejects Supplier’s general conditions of services and any additional or different terms or provisions that may appear on any proposal, quotation, price list, acknowledgment, invoice, packing slip or the like used by Supplier. </w:t>
      </w:r>
    </w:p>
    <w:p w14:paraId="4853C11F"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0249A74" w14:textId="77777777" w:rsidR="00D51839" w:rsidRDefault="00D51839" w:rsidP="00D51839">
      <w:pPr>
        <w:numPr>
          <w:ilvl w:val="0"/>
          <w:numId w:val="61"/>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Performance of the Services, organization, quality, timely delivery, subcontracting, reporting of progress, acceptance, changes </w:t>
      </w:r>
    </w:p>
    <w:p w14:paraId="274625F7"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492B35B1" w14:textId="77777777" w:rsidR="00D51839" w:rsidRDefault="00D51839" w:rsidP="00D51839">
      <w:pPr>
        <w:numPr>
          <w:ilvl w:val="0"/>
          <w:numId w:val="62"/>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With due observance of the other provisions of the Agreement, Supplier shall perform the Services specified under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for EIT UM under this Agreement, within the time schedule specified under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w:t>
      </w:r>
    </w:p>
    <w:p w14:paraId="19B7B3A6"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773B3CF" w14:textId="77777777" w:rsidR="00D51839" w:rsidRDefault="00D51839" w:rsidP="00D51839">
      <w:pPr>
        <w:numPr>
          <w:ilvl w:val="0"/>
          <w:numId w:val="63"/>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agrees to perform the Services by exercising due skill, speed and care, at a level generally required of well-reputed Suppliers in the same field as the one covered by this Agreement and shall make every effort to the best of Supplier’s abilities to serve the interests of EIT UM as much as possible.  </w:t>
      </w:r>
    </w:p>
    <w:p w14:paraId="6CC5D121"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BF4E362" w14:textId="77777777" w:rsidR="00D51839" w:rsidRDefault="00D51839" w:rsidP="00D51839">
      <w:pPr>
        <w:numPr>
          <w:ilvl w:val="0"/>
          <w:numId w:val="64"/>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is free to organise the way it provides the Services and the timing thereof autonomously and at its own discretion without supervision or authority of EIT UM,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xml:space="preserve">) provided </w:t>
      </w:r>
      <w:r w:rsidRPr="00ED36B4">
        <w:rPr>
          <w:rFonts w:eastAsia="Times New Roman" w:cs="Calibri Light"/>
          <w:color w:val="auto"/>
          <w:sz w:val="22"/>
          <w:lang w:eastAsia="en-GB"/>
        </w:rPr>
        <w:lastRenderedPageBreak/>
        <w:t xml:space="preserve">the Services are performed accurately and diligently and in accordance with the requirements of this Agreement, including the timely delivery of the Services as specified under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and (ii) subject to specific requirements as may be stated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regarding the way the Services shall be provided. Supplier may conduct its business activities from its own premises but may be requested to operate from EIT UM’s premises whenever it is necessary for the performance of the Services. Supplier shall arrange their own travel, should they need to travel in order to perform the Services. When performing the Services, Service Provider shall use its own tools and materials, work forces. Supplier shall be fully responsible for the proper execution of this Agreement in all respects.  </w:t>
      </w:r>
    </w:p>
    <w:p w14:paraId="7CC4254D"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BD8012C" w14:textId="77777777" w:rsidR="00D51839" w:rsidRDefault="00D51839" w:rsidP="00D51839">
      <w:pPr>
        <w:numPr>
          <w:ilvl w:val="0"/>
          <w:numId w:val="6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Supplier shall use personnel who possess the qualifications and experience necessary for the performance of the Services. Additional requirements relating to personnel may be provided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as the case may be. </w:t>
      </w:r>
    </w:p>
    <w:p w14:paraId="78B1B4BF"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46FF354" w14:textId="77777777" w:rsidR="00D51839" w:rsidRDefault="00D51839" w:rsidP="00D51839">
      <w:pPr>
        <w:numPr>
          <w:ilvl w:val="0"/>
          <w:numId w:val="6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Unless otherwise specifically provided under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Supplier may subcontract part of the provision of the Services to subcontractors, provided such subcontractors are contractually bound by similar obligations as under this Agreement, and provided Supplier has disclosed the elements of the Agreement to be subcontracted and the identity of the relevant subcontractor to EIT UM. Supplier remains at all times responsible for the work performed by its subcontractors and for the acts, defaults and negligence of such subcontractors, and no subcontract shall create any contractual relationship between any subcontractor and EIT UM. Additional requirements relating to subcontracting may be provided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as the case may be. </w:t>
      </w:r>
    </w:p>
    <w:p w14:paraId="65D6C5BD"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B6CD6E6" w14:textId="77777777" w:rsidR="00D51839" w:rsidRDefault="00D51839" w:rsidP="00D51839">
      <w:pPr>
        <w:numPr>
          <w:ilvl w:val="0"/>
          <w:numId w:val="67"/>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In order for EIT UM and Supplier to monitor the proper performance of the Services throughout the Term of the Agreement (as described in Article </w:t>
      </w:r>
      <w:r w:rsidRPr="00ED36B4">
        <w:rPr>
          <w:rFonts w:eastAsia="Times New Roman" w:cs="Calibri Light"/>
          <w:color w:val="000000"/>
          <w:sz w:val="22"/>
          <w:shd w:val="clear" w:color="auto" w:fill="E1E3E6"/>
          <w:lang w:eastAsia="en-GB"/>
        </w:rPr>
        <w:t>10.1</w:t>
      </w:r>
      <w:r w:rsidRPr="00ED36B4">
        <w:rPr>
          <w:rFonts w:eastAsia="Times New Roman" w:cs="Calibri Light"/>
          <w:color w:val="auto"/>
          <w:sz w:val="22"/>
          <w:lang w:eastAsia="en-GB"/>
        </w:rPr>
        <w:t xml:space="preserve"> below), Supplier shall report to EIT UM progress of the performance of the Services, in writing, at intervals and under conditions specified under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Supplier shall provide EIT UM with time sheets describing the tasks performed by Supplier and the time spent on each task, pursuant to the regularity provided under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and pursuant to the time sheet template provided by EIT UM separately. </w:t>
      </w:r>
    </w:p>
    <w:p w14:paraId="197D1D55"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6FDB0F62" w14:textId="77777777" w:rsidR="00D51839" w:rsidRDefault="00D51839" w:rsidP="00D51839">
      <w:pPr>
        <w:numPr>
          <w:ilvl w:val="0"/>
          <w:numId w:val="68"/>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If, for whatever reason, Supplier is not able to perform the agreed Services, or is not able to meet the deadlines agreed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Supplier shall notify EIT UM hereof promptly in writing, and shall take any reasonable measure to mitigate the consequences of such situation, in agreement with EIT UM. </w:t>
      </w:r>
    </w:p>
    <w:p w14:paraId="41EA03B5"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499D202E" w14:textId="77777777" w:rsidR="00D51839" w:rsidRDefault="00D51839" w:rsidP="00D51839">
      <w:pPr>
        <w:numPr>
          <w:ilvl w:val="0"/>
          <w:numId w:val="6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Services delivered are subject to the acceptance of EIT UM. EIT UM shall issue a performance certificate after completion of Services. Should EIT UM fail to reject part or all of the Services provided within fifteen (15) (or other deadline set forth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calendar days as from such delivery, on the grounds of a lack of quality or compliance, or because of late delivery, Services shall be considered as accepted. Should EIT UM reject a Service (within the above deadline) because of lack of quality or compliance, and such failure is capable of remedy, Supplier shall re-perform the rejected (part of the) Service promptly (but no later than five (5) calendar days in absence of any further instructions) at no additional charge for EIT UM. Should such failure be not capable of remedy (given the type of Service and/or the extent of the failure) or should the delivery have occurred after an essential delivery deadline which renders the Service </w:t>
      </w:r>
      <w:r w:rsidRPr="00ED36B4">
        <w:rPr>
          <w:rFonts w:eastAsia="Times New Roman" w:cs="Calibri Light"/>
          <w:color w:val="auto"/>
          <w:sz w:val="22"/>
          <w:lang w:eastAsia="en-GB"/>
        </w:rPr>
        <w:lastRenderedPageBreak/>
        <w:t>irrelevant or useless, the Services at stake shall be considered as rescinded, and EIT UM is not obliged to provide any compensation to Supplier for such Services. </w:t>
      </w:r>
    </w:p>
    <w:p w14:paraId="2BE84DFE"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A04D57B" w14:textId="77777777" w:rsidR="00D51839" w:rsidRDefault="00D51839" w:rsidP="00D51839">
      <w:pPr>
        <w:numPr>
          <w:ilvl w:val="0"/>
          <w:numId w:val="70"/>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Modifications to the Services and/or other provisions of this Agreement may only be agreed by the Parties as per the EIT UM procurement rules, i.e. if: </w:t>
      </w:r>
    </w:p>
    <w:p w14:paraId="767E78BE"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6CEAFF8A" w14:textId="77777777" w:rsidR="00D51839" w:rsidRDefault="00D51839" w:rsidP="00D51839">
      <w:pPr>
        <w:numPr>
          <w:ilvl w:val="0"/>
          <w:numId w:val="71"/>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mutually agreed in writing, and  </w:t>
      </w:r>
    </w:p>
    <w:p w14:paraId="0E5A4E57"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397C272A" w14:textId="77777777" w:rsidR="00D51839" w:rsidRDefault="00D51839" w:rsidP="00D51839">
      <w:pPr>
        <w:numPr>
          <w:ilvl w:val="0"/>
          <w:numId w:val="72"/>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need for modification has been brought about by circumstances which a diligent contracting entity could not foresee; and </w:t>
      </w:r>
    </w:p>
    <w:p w14:paraId="6AF73BA4"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29B7E410" w14:textId="77777777" w:rsidR="00D51839" w:rsidRDefault="00D51839" w:rsidP="00D51839">
      <w:pPr>
        <w:numPr>
          <w:ilvl w:val="0"/>
          <w:numId w:val="73"/>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modification does not alter the overall nature of the contract; and </w:t>
      </w:r>
    </w:p>
    <w:p w14:paraId="0EB4F96E"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4FD1AC9A" w14:textId="77777777" w:rsidR="00D51839" w:rsidRDefault="00D51839" w:rsidP="00D51839">
      <w:pPr>
        <w:numPr>
          <w:ilvl w:val="0"/>
          <w:numId w:val="74"/>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any increase in price is not higher than 25 % of the original value of the Agreement. In addition, if several successive increases in price would be agreed, the total cumulating of such successive increases shall not exceed 25% of the original value of the Agreement; and </w:t>
      </w:r>
    </w:p>
    <w:p w14:paraId="39D78043"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1B606EE5" w14:textId="77777777" w:rsidR="00D51839" w:rsidRDefault="00D51839" w:rsidP="00D51839">
      <w:pPr>
        <w:numPr>
          <w:ilvl w:val="0"/>
          <w:numId w:val="75"/>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modifications above 10% of the original value of the Agreement should only amend specific conditions of the Agreement and be made by way of an amendment to this Agreement signed by both Parties. </w:t>
      </w:r>
    </w:p>
    <w:p w14:paraId="5D8B17E3"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3C20515B" w14:textId="77777777" w:rsidR="00D51839" w:rsidRDefault="00D51839" w:rsidP="00D51839">
      <w:pPr>
        <w:numPr>
          <w:ilvl w:val="0"/>
          <w:numId w:val="7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Parties designate the following contact persons for communication with respect to this Contract: </w:t>
      </w:r>
    </w:p>
    <w:p w14:paraId="3EDDED7F"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245"/>
      </w:tblGrid>
      <w:tr w:rsidR="00D51839" w:rsidRPr="00ED36B4" w14:paraId="1E1F86D4" w14:textId="77777777" w:rsidTr="00110955">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9CC2E5"/>
            <w:hideMark/>
          </w:tcPr>
          <w:p w14:paraId="62ECE804"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b/>
                <w:bCs/>
                <w:color w:val="auto"/>
                <w:sz w:val="22"/>
                <w:lang w:eastAsia="en-GB"/>
              </w:rPr>
              <w:t>For EIT UM</w:t>
            </w:r>
            <w:r w:rsidRPr="00ED36B4">
              <w:rPr>
                <w:rFonts w:eastAsia="Times New Roman" w:cs="Calibri Light"/>
                <w:color w:val="auto"/>
                <w:sz w:val="22"/>
                <w:lang w:eastAsia="en-GB"/>
              </w:rPr>
              <w:t> </w:t>
            </w:r>
          </w:p>
        </w:tc>
        <w:tc>
          <w:tcPr>
            <w:tcW w:w="4245" w:type="dxa"/>
            <w:tcBorders>
              <w:top w:val="single" w:sz="6" w:space="0" w:color="auto"/>
              <w:left w:val="single" w:sz="6" w:space="0" w:color="auto"/>
              <w:bottom w:val="single" w:sz="6" w:space="0" w:color="auto"/>
              <w:right w:val="single" w:sz="6" w:space="0" w:color="auto"/>
            </w:tcBorders>
            <w:shd w:val="clear" w:color="auto" w:fill="9CC2E5"/>
            <w:hideMark/>
          </w:tcPr>
          <w:p w14:paraId="358DDB36"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b/>
                <w:bCs/>
                <w:color w:val="auto"/>
                <w:sz w:val="22"/>
                <w:lang w:eastAsia="en-GB"/>
              </w:rPr>
              <w:t>For Supplier</w:t>
            </w:r>
            <w:r w:rsidRPr="00ED36B4">
              <w:rPr>
                <w:rFonts w:eastAsia="Times New Roman" w:cs="Calibri Light"/>
                <w:color w:val="auto"/>
                <w:sz w:val="22"/>
                <w:lang w:eastAsia="en-GB"/>
              </w:rPr>
              <w:t> </w:t>
            </w:r>
          </w:p>
        </w:tc>
      </w:tr>
      <w:tr w:rsidR="00D51839" w:rsidRPr="00ED36B4" w14:paraId="7DEBC71E" w14:textId="77777777" w:rsidTr="00110955">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842F2F" w14:textId="77777777" w:rsidR="00D51839" w:rsidRPr="00ED36B4" w:rsidRDefault="00D51839" w:rsidP="00110955">
            <w:pPr>
              <w:spacing w:after="0" w:line="240" w:lineRule="auto"/>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Name:  </w:t>
            </w:r>
          </w:p>
        </w:tc>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2F271" w14:textId="77777777" w:rsidR="00D51839" w:rsidRPr="00ED36B4" w:rsidRDefault="00D51839" w:rsidP="00110955">
            <w:pPr>
              <w:spacing w:after="0" w:line="240" w:lineRule="auto"/>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Name:  </w:t>
            </w:r>
          </w:p>
        </w:tc>
      </w:tr>
      <w:tr w:rsidR="00D51839" w:rsidRPr="00ED36B4" w14:paraId="7A3BBA8F" w14:textId="77777777" w:rsidTr="00110955">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42C3A8" w14:textId="77777777" w:rsidR="00D51839" w:rsidRPr="00ED36B4" w:rsidRDefault="00D51839" w:rsidP="00110955">
            <w:pPr>
              <w:spacing w:after="0" w:line="240" w:lineRule="auto"/>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Phone:  </w:t>
            </w:r>
          </w:p>
        </w:tc>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58E450" w14:textId="77777777" w:rsidR="00D51839" w:rsidRPr="00ED36B4" w:rsidRDefault="00D51839" w:rsidP="00110955">
            <w:pPr>
              <w:spacing w:after="0" w:line="240" w:lineRule="auto"/>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Phone:  </w:t>
            </w:r>
          </w:p>
        </w:tc>
      </w:tr>
      <w:tr w:rsidR="00D51839" w:rsidRPr="00ED36B4" w14:paraId="3891645D" w14:textId="77777777" w:rsidTr="00110955">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70F68F" w14:textId="77777777" w:rsidR="00D51839" w:rsidRPr="00ED36B4" w:rsidRDefault="00D51839" w:rsidP="00110955">
            <w:pPr>
              <w:spacing w:after="0" w:line="240" w:lineRule="auto"/>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E-mail:  </w:t>
            </w:r>
          </w:p>
        </w:tc>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FBA77" w14:textId="77777777" w:rsidR="00D51839" w:rsidRPr="00ED36B4" w:rsidRDefault="00D51839" w:rsidP="00110955">
            <w:pPr>
              <w:spacing w:after="0" w:line="240" w:lineRule="auto"/>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E-mail:  </w:t>
            </w:r>
          </w:p>
        </w:tc>
      </w:tr>
    </w:tbl>
    <w:p w14:paraId="3CC4044D" w14:textId="77777777" w:rsidR="00D51839" w:rsidRDefault="00D51839" w:rsidP="00D51839">
      <w:pPr>
        <w:spacing w:after="0" w:line="240" w:lineRule="auto"/>
        <w:ind w:left="720"/>
        <w:jc w:val="both"/>
        <w:textAlignment w:val="baseline"/>
        <w:rPr>
          <w:rFonts w:eastAsia="Times New Roman" w:cs="Calibri Light"/>
          <w:b/>
          <w:bCs/>
          <w:color w:val="214EA2"/>
          <w:sz w:val="22"/>
          <w:lang w:eastAsia="en-GB"/>
        </w:rPr>
      </w:pPr>
    </w:p>
    <w:p w14:paraId="46E5C082" w14:textId="77777777" w:rsidR="00D51839" w:rsidRDefault="00D51839" w:rsidP="00D51839">
      <w:pPr>
        <w:numPr>
          <w:ilvl w:val="0"/>
          <w:numId w:val="77"/>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Compensation, invoicing and payment, expenses </w:t>
      </w:r>
    </w:p>
    <w:p w14:paraId="77172074"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4D44EB31" w14:textId="77777777" w:rsidR="00D51839" w:rsidRDefault="00D51839" w:rsidP="00D51839">
      <w:pPr>
        <w:numPr>
          <w:ilvl w:val="0"/>
          <w:numId w:val="78"/>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Supplier is entitled to charge, in respect of Supplier’s Services as described under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the compensation specified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per Service. </w:t>
      </w:r>
    </w:p>
    <w:p w14:paraId="67FF83C0"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06E4B7E" w14:textId="77777777" w:rsidR="00D51839" w:rsidRDefault="00D51839" w:rsidP="00D51839">
      <w:pPr>
        <w:numPr>
          <w:ilvl w:val="0"/>
          <w:numId w:val="7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Supplier may only charge the amounts under Article </w:t>
      </w:r>
      <w:r w:rsidRPr="00ED36B4">
        <w:rPr>
          <w:rFonts w:eastAsia="Times New Roman" w:cs="Calibri Light"/>
          <w:color w:val="000000"/>
          <w:sz w:val="22"/>
          <w:shd w:val="clear" w:color="auto" w:fill="E1E3E6"/>
          <w:lang w:eastAsia="en-GB"/>
        </w:rPr>
        <w:t>4.1</w:t>
      </w:r>
      <w:r w:rsidRPr="00ED36B4">
        <w:rPr>
          <w:rFonts w:eastAsia="Times New Roman" w:cs="Calibri Light"/>
          <w:color w:val="auto"/>
          <w:sz w:val="22"/>
          <w:lang w:eastAsia="en-GB"/>
        </w:rPr>
        <w:t xml:space="preserve"> corresponding to the delivered Services, after acceptance of such Services by EIT UM. </w:t>
      </w:r>
    </w:p>
    <w:p w14:paraId="32530C72"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7114BEE" w14:textId="77777777" w:rsidR="00D51839" w:rsidRDefault="00D51839" w:rsidP="00D51839">
      <w:pPr>
        <w:numPr>
          <w:ilvl w:val="0"/>
          <w:numId w:val="80"/>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Further, Supplier may only charge the amounts under Article </w:t>
      </w:r>
      <w:r w:rsidRPr="00ED36B4">
        <w:rPr>
          <w:rFonts w:eastAsia="Times New Roman" w:cs="Calibri Light"/>
          <w:color w:val="000000"/>
          <w:sz w:val="22"/>
          <w:shd w:val="clear" w:color="auto" w:fill="E1E3E6"/>
          <w:lang w:eastAsia="en-GB"/>
        </w:rPr>
        <w:t>4.1</w:t>
      </w:r>
      <w:r w:rsidRPr="00ED36B4">
        <w:rPr>
          <w:rFonts w:eastAsia="Times New Roman" w:cs="Calibri Light"/>
          <w:color w:val="auto"/>
          <w:sz w:val="22"/>
          <w:lang w:eastAsia="en-GB"/>
        </w:rPr>
        <w:t xml:space="preserve"> subject to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EIT UM having received a correct invoice bearing the essential elements below, (ii) all relevant progress reports relating to the delivered Services so invoiced having been properly delivered to EIT UM in a timely manner and accepted by EIT UM in writing (as the case may be). </w:t>
      </w:r>
    </w:p>
    <w:p w14:paraId="2D9AAD1F"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1F058ED" w14:textId="77777777" w:rsidR="00D51839" w:rsidRPr="00ED36B4" w:rsidRDefault="00D51839" w:rsidP="00D51839">
      <w:pPr>
        <w:numPr>
          <w:ilvl w:val="0"/>
          <w:numId w:val="81"/>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An invoice shall be considered as correct when containing the following essential elements: </w:t>
      </w:r>
    </w:p>
    <w:p w14:paraId="1C904DB2" w14:textId="77777777" w:rsidR="00D51839" w:rsidRPr="00ED36B4" w:rsidRDefault="00D51839" w:rsidP="00D51839">
      <w:pPr>
        <w:numPr>
          <w:ilvl w:val="0"/>
          <w:numId w:val="82"/>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lastRenderedPageBreak/>
        <w:t>the name and address of Supplier </w:t>
      </w:r>
    </w:p>
    <w:p w14:paraId="67017815" w14:textId="77777777" w:rsidR="00D51839" w:rsidRPr="00ED36B4" w:rsidRDefault="00D51839" w:rsidP="00D51839">
      <w:pPr>
        <w:numPr>
          <w:ilvl w:val="0"/>
          <w:numId w:val="83"/>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VAT identification number of Supplier </w:t>
      </w:r>
    </w:p>
    <w:p w14:paraId="3E68B657" w14:textId="77777777" w:rsidR="00D51839" w:rsidRPr="00ED36B4" w:rsidRDefault="00D51839" w:rsidP="00D51839">
      <w:pPr>
        <w:numPr>
          <w:ilvl w:val="0"/>
          <w:numId w:val="84"/>
        </w:numPr>
        <w:spacing w:after="0" w:line="240" w:lineRule="auto"/>
        <w:ind w:left="2127" w:hanging="837"/>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VAT identification number of EIT UM </w:t>
      </w:r>
    </w:p>
    <w:p w14:paraId="5227F2FC" w14:textId="77777777" w:rsidR="00D51839" w:rsidRPr="00ED36B4" w:rsidRDefault="00D51839" w:rsidP="00D51839">
      <w:pPr>
        <w:numPr>
          <w:ilvl w:val="0"/>
          <w:numId w:val="85"/>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name and address of EIT UM </w:t>
      </w:r>
    </w:p>
    <w:p w14:paraId="61A17D0B" w14:textId="77777777" w:rsidR="00D51839" w:rsidRPr="00ED36B4" w:rsidRDefault="00D51839" w:rsidP="00D51839">
      <w:pPr>
        <w:numPr>
          <w:ilvl w:val="0"/>
          <w:numId w:val="86"/>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invoice number </w:t>
      </w:r>
    </w:p>
    <w:p w14:paraId="0B47047D" w14:textId="77777777" w:rsidR="00D51839" w:rsidRPr="00ED36B4" w:rsidRDefault="00D51839" w:rsidP="00D51839">
      <w:pPr>
        <w:numPr>
          <w:ilvl w:val="0"/>
          <w:numId w:val="87"/>
        </w:numPr>
        <w:spacing w:after="0" w:line="240" w:lineRule="auto"/>
        <w:ind w:left="2127" w:hanging="837"/>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invoice date </w:t>
      </w:r>
    </w:p>
    <w:p w14:paraId="3E83DBB1" w14:textId="77777777" w:rsidR="00D51839" w:rsidRPr="00ED36B4" w:rsidRDefault="00D51839" w:rsidP="00D51839">
      <w:pPr>
        <w:numPr>
          <w:ilvl w:val="0"/>
          <w:numId w:val="88"/>
        </w:numPr>
        <w:spacing w:after="0" w:line="240" w:lineRule="auto"/>
        <w:ind w:left="2127" w:hanging="837"/>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date on which the Services were supplied (provided EIT UM has accepted them pursuant to this Agreement) </w:t>
      </w:r>
    </w:p>
    <w:p w14:paraId="638FFC8D" w14:textId="77777777" w:rsidR="00D51839" w:rsidRPr="00ED36B4" w:rsidRDefault="00D51839" w:rsidP="00D51839">
      <w:pPr>
        <w:numPr>
          <w:ilvl w:val="0"/>
          <w:numId w:val="89"/>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quantity and type of goods supplied (if applicable) </w:t>
      </w:r>
    </w:p>
    <w:p w14:paraId="25D8929A" w14:textId="77777777" w:rsidR="00D51839" w:rsidRPr="00ED36B4" w:rsidRDefault="00D51839" w:rsidP="00D51839">
      <w:pPr>
        <w:numPr>
          <w:ilvl w:val="0"/>
          <w:numId w:val="90"/>
        </w:numPr>
        <w:spacing w:after="0" w:line="240" w:lineRule="auto"/>
        <w:ind w:left="2127" w:hanging="837"/>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nature and type of Services supplied </w:t>
      </w:r>
    </w:p>
    <w:p w14:paraId="007CEE93" w14:textId="77777777" w:rsidR="00D51839" w:rsidRPr="00ED36B4" w:rsidRDefault="00D51839" w:rsidP="00D51839">
      <w:pPr>
        <w:numPr>
          <w:ilvl w:val="0"/>
          <w:numId w:val="91"/>
        </w:numPr>
        <w:spacing w:after="0" w:line="240" w:lineRule="auto"/>
        <w:ind w:left="2127" w:hanging="837"/>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following data for every VAT tariff or exemption: </w:t>
      </w:r>
    </w:p>
    <w:p w14:paraId="53D91B99" w14:textId="77777777" w:rsidR="00D51839" w:rsidRPr="00ED36B4" w:rsidRDefault="00D51839" w:rsidP="00D51839">
      <w:pPr>
        <w:numPr>
          <w:ilvl w:val="0"/>
          <w:numId w:val="92"/>
        </w:numPr>
        <w:spacing w:after="0" w:line="240" w:lineRule="auto"/>
        <w:ind w:left="2268"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price per piece or unit, excluding VAT </w:t>
      </w:r>
    </w:p>
    <w:p w14:paraId="4B049E24" w14:textId="77777777" w:rsidR="00D51839" w:rsidRPr="00ED36B4" w:rsidRDefault="00D51839" w:rsidP="00D51839">
      <w:pPr>
        <w:numPr>
          <w:ilvl w:val="0"/>
          <w:numId w:val="93"/>
        </w:numPr>
        <w:spacing w:after="0" w:line="240" w:lineRule="auto"/>
        <w:ind w:left="2268"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any reductions that are not included in the price </w:t>
      </w:r>
    </w:p>
    <w:p w14:paraId="0B339D0E" w14:textId="77777777" w:rsidR="00D51839" w:rsidRPr="00ED36B4" w:rsidRDefault="00D51839" w:rsidP="00D51839">
      <w:pPr>
        <w:numPr>
          <w:ilvl w:val="0"/>
          <w:numId w:val="94"/>
        </w:numPr>
        <w:spacing w:after="0" w:line="240" w:lineRule="auto"/>
        <w:ind w:left="2268"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VAT tariff that has been applied </w:t>
      </w:r>
    </w:p>
    <w:p w14:paraId="561CCA9F" w14:textId="77777777" w:rsidR="00D51839" w:rsidRPr="00ED36B4" w:rsidRDefault="00D51839" w:rsidP="00D51839">
      <w:pPr>
        <w:numPr>
          <w:ilvl w:val="0"/>
          <w:numId w:val="95"/>
        </w:numPr>
        <w:spacing w:after="0" w:line="240" w:lineRule="auto"/>
        <w:ind w:left="2268"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cost (the price excluding VAT) </w:t>
      </w:r>
    </w:p>
    <w:p w14:paraId="299619DE" w14:textId="77777777" w:rsidR="00D51839" w:rsidRPr="00ED36B4" w:rsidRDefault="00D51839" w:rsidP="00D51839">
      <w:pPr>
        <w:numPr>
          <w:ilvl w:val="0"/>
          <w:numId w:val="96"/>
        </w:numPr>
        <w:spacing w:after="0" w:line="240" w:lineRule="auto"/>
        <w:ind w:left="2268"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in case of advance payment: the date of payment, if this is different from the invoice date </w:t>
      </w:r>
    </w:p>
    <w:p w14:paraId="7E6B26E5" w14:textId="77777777" w:rsidR="00D51839" w:rsidRDefault="00D51839" w:rsidP="00D51839">
      <w:pPr>
        <w:numPr>
          <w:ilvl w:val="0"/>
          <w:numId w:val="97"/>
        </w:numPr>
        <w:spacing w:after="0" w:line="240" w:lineRule="auto"/>
        <w:ind w:left="2268"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amount of VAT </w:t>
      </w:r>
    </w:p>
    <w:p w14:paraId="6FC029CE" w14:textId="77777777" w:rsidR="00D51839" w:rsidRPr="00ED36B4" w:rsidRDefault="00D51839" w:rsidP="00D51839">
      <w:pPr>
        <w:spacing w:after="0" w:line="240" w:lineRule="auto"/>
        <w:ind w:left="2268"/>
        <w:jc w:val="both"/>
        <w:textAlignment w:val="baseline"/>
        <w:rPr>
          <w:rFonts w:eastAsia="Times New Roman" w:cs="Calibri Light"/>
          <w:color w:val="auto"/>
          <w:sz w:val="22"/>
          <w:lang w:eastAsia="en-GB"/>
        </w:rPr>
      </w:pPr>
    </w:p>
    <w:p w14:paraId="3A10C58A" w14:textId="77777777" w:rsidR="00D51839" w:rsidRDefault="00D51839" w:rsidP="00D51839">
      <w:pPr>
        <w:numPr>
          <w:ilvl w:val="0"/>
          <w:numId w:val="98"/>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By deviation to Article </w:t>
      </w:r>
      <w:r w:rsidRPr="00ED36B4">
        <w:rPr>
          <w:rFonts w:eastAsia="Times New Roman" w:cs="Calibri Light"/>
          <w:color w:val="000000"/>
          <w:sz w:val="22"/>
          <w:shd w:val="clear" w:color="auto" w:fill="E1E3E6"/>
          <w:lang w:eastAsia="en-GB"/>
        </w:rPr>
        <w:t>4.2</w:t>
      </w:r>
      <w:r w:rsidRPr="00ED36B4">
        <w:rPr>
          <w:rFonts w:eastAsia="Times New Roman" w:cs="Calibri Light"/>
          <w:color w:val="auto"/>
          <w:sz w:val="22"/>
          <w:lang w:eastAsia="en-GB"/>
        </w:rPr>
        <w:t xml:space="preserve">, Supplier may charge the amounts under Article </w:t>
      </w:r>
      <w:r w:rsidRPr="00ED36B4">
        <w:rPr>
          <w:rFonts w:eastAsia="Times New Roman" w:cs="Calibri Light"/>
          <w:color w:val="000000"/>
          <w:sz w:val="22"/>
          <w:shd w:val="clear" w:color="auto" w:fill="E1E3E6"/>
          <w:lang w:eastAsia="en-GB"/>
        </w:rPr>
        <w:t>4.1</w:t>
      </w:r>
      <w:r w:rsidRPr="00ED36B4">
        <w:rPr>
          <w:rFonts w:eastAsia="Times New Roman" w:cs="Calibri Light"/>
          <w:color w:val="auto"/>
          <w:sz w:val="22"/>
          <w:lang w:eastAsia="en-GB"/>
        </w:rPr>
        <w:t xml:space="preserve">, at the beginning of each (quarterly, monthly or other) period specified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if such alternative is specifically agreed by EIT UM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In such a case, requirements of Article </w:t>
      </w:r>
      <w:r w:rsidRPr="00ED36B4">
        <w:rPr>
          <w:rFonts w:eastAsia="Times New Roman" w:cs="Calibri Light"/>
          <w:color w:val="000000"/>
          <w:sz w:val="22"/>
          <w:shd w:val="clear" w:color="auto" w:fill="E1E3E6"/>
          <w:lang w:eastAsia="en-GB"/>
        </w:rPr>
        <w:t>4.3</w:t>
      </w:r>
      <w:r w:rsidRPr="00ED36B4">
        <w:rPr>
          <w:rFonts w:eastAsia="Times New Roman" w:cs="Calibri Light"/>
          <w:color w:val="auto"/>
          <w:sz w:val="22"/>
          <w:lang w:eastAsia="en-GB"/>
        </w:rPr>
        <w:t xml:space="preserve"> shall apply to each regular invoice. </w:t>
      </w:r>
    </w:p>
    <w:p w14:paraId="307702CB"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60B30068" w14:textId="77777777" w:rsidR="00D51839" w:rsidRDefault="00D51839" w:rsidP="00D51839">
      <w:pPr>
        <w:numPr>
          <w:ilvl w:val="0"/>
          <w:numId w:val="9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The payment term applying to Supplier invoices fulfilling the requirements of this </w:t>
      </w:r>
      <w:r w:rsidRPr="00ED36B4">
        <w:rPr>
          <w:rFonts w:eastAsia="Times New Roman" w:cs="Calibri Light"/>
          <w:color w:val="000000"/>
          <w:sz w:val="22"/>
          <w:shd w:val="clear" w:color="auto" w:fill="E1E3E6"/>
          <w:lang w:eastAsia="en-GB"/>
        </w:rPr>
        <w:t>Article 4:</w:t>
      </w:r>
      <w:r w:rsidRPr="00ED36B4">
        <w:rPr>
          <w:rFonts w:eastAsia="Times New Roman" w:cs="Calibri Light"/>
          <w:color w:val="auto"/>
          <w:sz w:val="22"/>
          <w:lang w:eastAsia="en-GB"/>
        </w:rPr>
        <w:t xml:space="preserve"> is fixed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w:t>
      </w:r>
    </w:p>
    <w:p w14:paraId="4E238DBE"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45018472" w14:textId="77777777" w:rsidR="00D51839" w:rsidRDefault="00D51839" w:rsidP="00D51839">
      <w:pPr>
        <w:numPr>
          <w:ilvl w:val="0"/>
          <w:numId w:val="100"/>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All amounts corresponding to the compensation per Service, as fixed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shall be fixed tariffs, which may not be revised during the Term of this Agreement (as described in Article </w:t>
      </w:r>
      <w:r w:rsidRPr="00ED36B4">
        <w:rPr>
          <w:rFonts w:eastAsia="Times New Roman" w:cs="Calibri Light"/>
          <w:color w:val="000000"/>
          <w:sz w:val="22"/>
          <w:shd w:val="clear" w:color="auto" w:fill="E1E3E6"/>
          <w:lang w:eastAsia="en-GB"/>
        </w:rPr>
        <w:t>10.1</w:t>
      </w:r>
      <w:r w:rsidRPr="00ED36B4">
        <w:rPr>
          <w:rFonts w:eastAsia="Times New Roman" w:cs="Calibri Light"/>
          <w:color w:val="auto"/>
          <w:sz w:val="22"/>
          <w:lang w:eastAsia="en-GB"/>
        </w:rPr>
        <w:t xml:space="preserve"> below), unless specifically provided otherwise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(and within the limits of the price revision mechanisms authorised under the procurement procedure). </w:t>
      </w:r>
    </w:p>
    <w:p w14:paraId="6642DBC2"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DF59338" w14:textId="77777777" w:rsidR="00D51839" w:rsidRDefault="00D51839" w:rsidP="00D51839">
      <w:pPr>
        <w:numPr>
          <w:ilvl w:val="0"/>
          <w:numId w:val="101"/>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Supplier may charge expenses to EIT UM, to the extent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xml:space="preserve"> provides for such possibility. Expenses shall only be paid if EIT UM has given its written approval prior to Supplier incurring said costs. </w:t>
      </w:r>
    </w:p>
    <w:p w14:paraId="411D9AD8"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7CA1F98" w14:textId="77777777" w:rsidR="00D51839" w:rsidRDefault="00D51839" w:rsidP="00D51839">
      <w:pPr>
        <w:numPr>
          <w:ilvl w:val="0"/>
          <w:numId w:val="102"/>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If Supplier fails to fulfil any of its obligations under the Agreement, EIT UM may suspend payment to Supplier, upon notice to Supplier. </w:t>
      </w:r>
    </w:p>
    <w:p w14:paraId="102ADCDE"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767F189" w14:textId="77777777" w:rsidR="00D51839" w:rsidRDefault="00D51839" w:rsidP="00D51839">
      <w:pPr>
        <w:numPr>
          <w:ilvl w:val="0"/>
          <w:numId w:val="103"/>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hereby unconditionally accepts that EIT UM has the right to set off any amount that EIT UM owes to Supplier under this Agreement, with any amount Supplier owes to EIT UM under this Agreement or any other agreement. </w:t>
      </w:r>
    </w:p>
    <w:p w14:paraId="49A9FA26"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8EE546E" w14:textId="77777777" w:rsidR="00D51839" w:rsidRDefault="00D51839" w:rsidP="00D51839">
      <w:pPr>
        <w:numPr>
          <w:ilvl w:val="0"/>
          <w:numId w:val="104"/>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Taxes, other contributions, no employment agreement and related indemnification </w:t>
      </w:r>
    </w:p>
    <w:p w14:paraId="0A29C486"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7F6503DF" w14:textId="77777777" w:rsidR="00D51839" w:rsidRDefault="00D51839" w:rsidP="00D51839">
      <w:pPr>
        <w:numPr>
          <w:ilvl w:val="0"/>
          <w:numId w:val="10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lastRenderedPageBreak/>
        <w:t>All tariffs are gross amounts but exclusive of any value added tax (VAT), sales tax, GST, consumption tax or any other similar tax (“</w:t>
      </w:r>
      <w:r w:rsidRPr="00ED36B4">
        <w:rPr>
          <w:rFonts w:eastAsia="Times New Roman" w:cs="Calibri Light"/>
          <w:b/>
          <w:bCs/>
          <w:color w:val="auto"/>
          <w:sz w:val="22"/>
          <w:lang w:eastAsia="en-GB"/>
        </w:rPr>
        <w:t>Taxes</w:t>
      </w:r>
      <w:r w:rsidRPr="00ED36B4">
        <w:rPr>
          <w:rFonts w:eastAsia="Times New Roman" w:cs="Calibri Light"/>
          <w:color w:val="auto"/>
          <w:sz w:val="22"/>
          <w:lang w:eastAsia="en-GB"/>
        </w:rPr>
        <w:t>”). </w:t>
      </w:r>
    </w:p>
    <w:p w14:paraId="61526EE1"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274AB18" w14:textId="77777777" w:rsidR="00D51839" w:rsidRDefault="00D51839" w:rsidP="00D51839">
      <w:pPr>
        <w:numPr>
          <w:ilvl w:val="0"/>
          <w:numId w:val="10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If the Services under this Agreement are subject to any other Taxes, Supplier may charge such Taxes to EIT UM, which taxes shall be paid by EIT UM in addition to the compensation for Supplier. Supplier is responsible for paying any applicable Taxes to the appropriate (tax) authorities. </w:t>
      </w:r>
    </w:p>
    <w:p w14:paraId="40D48D23"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5375441" w14:textId="77777777" w:rsidR="00D51839" w:rsidRDefault="00D51839" w:rsidP="00D51839">
      <w:pPr>
        <w:numPr>
          <w:ilvl w:val="0"/>
          <w:numId w:val="107"/>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In addition to Articles </w:t>
      </w:r>
      <w:r w:rsidRPr="00ED36B4">
        <w:rPr>
          <w:rFonts w:eastAsia="Times New Roman" w:cs="Calibri Light"/>
          <w:color w:val="000000"/>
          <w:sz w:val="22"/>
          <w:shd w:val="clear" w:color="auto" w:fill="E1E3E6"/>
          <w:lang w:eastAsia="en-GB"/>
        </w:rPr>
        <w:t>5.1</w:t>
      </w:r>
      <w:r w:rsidRPr="00ED36B4">
        <w:rPr>
          <w:rFonts w:eastAsia="Times New Roman" w:cs="Calibri Light"/>
          <w:color w:val="auto"/>
          <w:sz w:val="22"/>
          <w:lang w:eastAsia="en-GB"/>
        </w:rPr>
        <w:t xml:space="preserve"> and </w:t>
      </w:r>
      <w:r w:rsidRPr="00ED36B4">
        <w:rPr>
          <w:rFonts w:eastAsia="Times New Roman" w:cs="Calibri Light"/>
          <w:color w:val="000000"/>
          <w:sz w:val="22"/>
          <w:shd w:val="clear" w:color="auto" w:fill="E1E3E6"/>
          <w:lang w:eastAsia="en-GB"/>
        </w:rPr>
        <w:t>5.2</w:t>
      </w:r>
      <w:r w:rsidRPr="00ED36B4">
        <w:rPr>
          <w:rFonts w:eastAsia="Times New Roman" w:cs="Calibri Light"/>
          <w:color w:val="auto"/>
          <w:sz w:val="22"/>
          <w:lang w:eastAsia="en-GB"/>
        </w:rPr>
        <w:t>, all social security, fiscal charges or taxation of any kind and contributions of any kind including but not limited to value added, levies, withholdings, unemployment, medical insurance and insurance of any kind, pensions, national insurance contributions and social security benefits, as imposed by any law, accommodation and travel costs, living expenses, or other expenses and charges arising from this Agreement, will be the exclusive responsibility of Supplier, who must pay such taxes, charges, any kind of expenses and contributions directly to the competent authorities or employees (as the case may be) (altogether called “</w:t>
      </w:r>
      <w:r w:rsidRPr="00ED36B4">
        <w:rPr>
          <w:rFonts w:eastAsia="Times New Roman" w:cs="Calibri Light"/>
          <w:b/>
          <w:bCs/>
          <w:color w:val="auto"/>
          <w:sz w:val="22"/>
          <w:lang w:eastAsia="en-GB"/>
        </w:rPr>
        <w:t>Contributions</w:t>
      </w:r>
      <w:r w:rsidRPr="00ED36B4">
        <w:rPr>
          <w:rFonts w:eastAsia="Times New Roman" w:cs="Calibri Light"/>
          <w:color w:val="auto"/>
          <w:sz w:val="22"/>
          <w:lang w:eastAsia="en-GB"/>
        </w:rPr>
        <w:t>”). </w:t>
      </w:r>
    </w:p>
    <w:p w14:paraId="26A8019B"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6524F6F" w14:textId="77777777" w:rsidR="00D51839" w:rsidRDefault="00D51839" w:rsidP="00D51839">
      <w:pPr>
        <w:numPr>
          <w:ilvl w:val="0"/>
          <w:numId w:val="108"/>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shall perform the Services hereunder as an independent contractor and not as an agent of EIT UM and nothing contained in the Agreement is intended to create a partnership, joint venture or employment relationship between the Parties irrespective of the extent of economic dependency of Supplier on EIT UM. </w:t>
      </w:r>
    </w:p>
    <w:p w14:paraId="6EBE0AAC"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BAC4EEA" w14:textId="77777777" w:rsidR="00D51839" w:rsidRDefault="00D51839" w:rsidP="00D51839">
      <w:pPr>
        <w:numPr>
          <w:ilvl w:val="0"/>
          <w:numId w:val="10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shall indemnify and keep EIT UM harmless from any claims from any authority for payment of any Contributions, including all interest charged in respect thereof, surcharges and possible administrative fines in connection with the Services performed by Supplier on the basis of the Agreement. </w:t>
      </w:r>
    </w:p>
    <w:p w14:paraId="6C5C262C"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631448C" w14:textId="77777777" w:rsidR="00D51839" w:rsidRDefault="00D51839" w:rsidP="00D51839">
      <w:pPr>
        <w:numPr>
          <w:ilvl w:val="0"/>
          <w:numId w:val="110"/>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Intellectual property, ownership and licensing, IP infringement indemnification </w:t>
      </w:r>
    </w:p>
    <w:p w14:paraId="4B1F6B53"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0F653F66" w14:textId="77777777" w:rsidR="00D51839" w:rsidRDefault="00D51839" w:rsidP="00D51839">
      <w:pPr>
        <w:numPr>
          <w:ilvl w:val="0"/>
          <w:numId w:val="111"/>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w:t>
      </w:r>
      <w:r w:rsidRPr="00ED36B4">
        <w:rPr>
          <w:rFonts w:eastAsia="Times New Roman" w:cs="Calibri Light"/>
          <w:b/>
          <w:bCs/>
          <w:color w:val="auto"/>
          <w:sz w:val="22"/>
          <w:lang w:eastAsia="en-GB"/>
        </w:rPr>
        <w:t>Intellectual Property Rights</w:t>
      </w:r>
      <w:r w:rsidRPr="00ED36B4">
        <w:rPr>
          <w:rFonts w:eastAsia="Times New Roman" w:cs="Calibri Light"/>
          <w:color w:val="auto"/>
          <w:sz w:val="22"/>
          <w:lang w:eastAsia="en-GB"/>
        </w:rPr>
        <w:t>” or “</w:t>
      </w:r>
      <w:r w:rsidRPr="00ED36B4">
        <w:rPr>
          <w:rFonts w:eastAsia="Times New Roman" w:cs="Calibri Light"/>
          <w:b/>
          <w:bCs/>
          <w:color w:val="auto"/>
          <w:sz w:val="22"/>
          <w:lang w:eastAsia="en-GB"/>
        </w:rPr>
        <w:t>IP</w:t>
      </w:r>
      <w:r w:rsidRPr="00ED36B4">
        <w:rPr>
          <w:rFonts w:eastAsia="Times New Roman" w:cs="Calibri Light"/>
          <w:color w:val="auto"/>
          <w:sz w:val="22"/>
          <w:lang w:eastAsia="en-GB"/>
        </w:rPr>
        <w:t>” shall mean patents, utility certificates, utility models, (industrial) design rights, copyrights, database rights, trademarks, trade names and trade secrets, including moral rights and any applications, renewals, extensions, combinations, divisions, discontinuations or re-issues of the foregoing. </w:t>
      </w:r>
    </w:p>
    <w:p w14:paraId="3A3DE347"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344EF9C" w14:textId="77777777" w:rsidR="00D51839" w:rsidRDefault="00D51839" w:rsidP="00D51839">
      <w:pPr>
        <w:numPr>
          <w:ilvl w:val="0"/>
          <w:numId w:val="112"/>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Unless expressly specified otherwise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should the performance of the Services entail the delivery of (written) advice, reports or any other materials or results (“</w:t>
      </w:r>
      <w:r w:rsidRPr="00ED36B4">
        <w:rPr>
          <w:rFonts w:eastAsia="Times New Roman" w:cs="Calibri Light"/>
          <w:b/>
          <w:bCs/>
          <w:color w:val="auto"/>
          <w:sz w:val="22"/>
          <w:lang w:eastAsia="en-GB"/>
        </w:rPr>
        <w:t>Deliverables</w:t>
      </w:r>
      <w:r w:rsidRPr="00ED36B4">
        <w:rPr>
          <w:rFonts w:eastAsia="Times New Roman" w:cs="Calibri Light"/>
          <w:color w:val="auto"/>
          <w:sz w:val="22"/>
          <w:lang w:eastAsia="en-GB"/>
        </w:rPr>
        <w:t>”), the ownership of any Intellectual Property Rights in such Deliverables shall be vested in EIT UM. </w:t>
      </w:r>
    </w:p>
    <w:p w14:paraId="36A92530"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2048379" w14:textId="77777777" w:rsidR="00D51839" w:rsidRDefault="00D51839" w:rsidP="00D51839">
      <w:pPr>
        <w:numPr>
          <w:ilvl w:val="0"/>
          <w:numId w:val="113"/>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In addition to Article </w:t>
      </w:r>
      <w:r w:rsidRPr="00ED36B4">
        <w:rPr>
          <w:rFonts w:eastAsia="Times New Roman" w:cs="Calibri Light"/>
          <w:color w:val="000000"/>
          <w:sz w:val="22"/>
          <w:shd w:val="clear" w:color="auto" w:fill="E1E3E6"/>
          <w:lang w:eastAsia="en-GB"/>
        </w:rPr>
        <w:t>6.1</w:t>
      </w:r>
      <w:r w:rsidRPr="00ED36B4">
        <w:rPr>
          <w:rFonts w:eastAsia="Times New Roman" w:cs="Calibri Light"/>
          <w:color w:val="auto"/>
          <w:sz w:val="22"/>
          <w:lang w:eastAsia="en-GB"/>
        </w:rPr>
        <w:t>, any item provided by EIT UM (or by a third party designated by EIT UM on behalf of EIT UM) and used to perform the Services and/or embedded in the delivered Services, shall at all times remain the ownership of EIT UM. Supplier shall have no right, title or interest in any of these items nor any trademark or trade name from EIT UM. </w:t>
      </w:r>
    </w:p>
    <w:p w14:paraId="5234750C"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417B4120" w14:textId="77777777" w:rsidR="00D51839" w:rsidRDefault="00D51839" w:rsidP="00D51839">
      <w:pPr>
        <w:numPr>
          <w:ilvl w:val="0"/>
          <w:numId w:val="114"/>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By exception to Article </w:t>
      </w:r>
      <w:r w:rsidRPr="00ED36B4">
        <w:rPr>
          <w:rFonts w:eastAsia="Times New Roman" w:cs="Calibri Light"/>
          <w:color w:val="000000"/>
          <w:sz w:val="22"/>
          <w:shd w:val="clear" w:color="auto" w:fill="E1E3E6"/>
          <w:lang w:eastAsia="en-GB"/>
        </w:rPr>
        <w:t>6.1</w:t>
      </w:r>
      <w:r w:rsidRPr="00ED36B4">
        <w:rPr>
          <w:rFonts w:eastAsia="Times New Roman" w:cs="Calibri Light"/>
          <w:color w:val="auto"/>
          <w:sz w:val="22"/>
          <w:lang w:eastAsia="en-GB"/>
        </w:rPr>
        <w:t>, Intellectual Property Rights owned or controlled by Supplier before the start of the performance of the Services shall remain the ownership of Supplier (“</w:t>
      </w:r>
      <w:r w:rsidRPr="00ED36B4">
        <w:rPr>
          <w:rFonts w:eastAsia="Times New Roman" w:cs="Calibri Light"/>
          <w:b/>
          <w:bCs/>
          <w:color w:val="auto"/>
          <w:sz w:val="22"/>
          <w:lang w:eastAsia="en-GB"/>
        </w:rPr>
        <w:t>Background IP</w:t>
      </w:r>
      <w:r w:rsidRPr="00ED36B4">
        <w:rPr>
          <w:rFonts w:eastAsia="Times New Roman" w:cs="Calibri Light"/>
          <w:color w:val="auto"/>
          <w:sz w:val="22"/>
          <w:lang w:eastAsia="en-GB"/>
        </w:rPr>
        <w:t>”). </w:t>
      </w:r>
    </w:p>
    <w:p w14:paraId="307E3474"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4AF1915" w14:textId="77777777" w:rsidR="00D51839" w:rsidRDefault="00D51839" w:rsidP="00D51839">
      <w:pPr>
        <w:numPr>
          <w:ilvl w:val="0"/>
          <w:numId w:val="11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hereby grant a non-exclusive, royalty-free and fully paid-up, worldwide, irrevocable and perpetual license under its Background IP used for the performance of the Services, to EIT UM, with the right to sublicense, for the use, make, have made, build-in, market, sell, lease, license distribute and/or otherwise dispose of the Services and/or Deliverables. </w:t>
      </w:r>
    </w:p>
    <w:p w14:paraId="7C623DC0"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FE7EA28" w14:textId="77777777" w:rsidR="00D51839" w:rsidRDefault="00D51839" w:rsidP="00D51839">
      <w:pPr>
        <w:numPr>
          <w:ilvl w:val="0"/>
          <w:numId w:val="11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shall not, without EIT UM’ prior written consent, publicly make any reference to EIT UM, whether in press releases, advertisements, sales literature or otherwise. </w:t>
      </w:r>
    </w:p>
    <w:p w14:paraId="5F0EE0AA"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8CDB552" w14:textId="77777777" w:rsidR="00D51839" w:rsidRDefault="00D51839" w:rsidP="00D51839">
      <w:pPr>
        <w:numPr>
          <w:ilvl w:val="0"/>
          <w:numId w:val="117"/>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Unless expressly specified otherwise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w:t>
      </w:r>
    </w:p>
    <w:p w14:paraId="66B1E347"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169087D" w14:textId="77777777" w:rsidR="00D51839" w:rsidRDefault="00D51839" w:rsidP="00D51839">
      <w:pPr>
        <w:pStyle w:val="ListParagraph"/>
        <w:numPr>
          <w:ilvl w:val="1"/>
          <w:numId w:val="282"/>
        </w:numPr>
        <w:spacing w:after="0" w:line="240" w:lineRule="auto"/>
        <w:jc w:val="both"/>
        <w:textAlignment w:val="baseline"/>
        <w:rPr>
          <w:rFonts w:eastAsia="Times New Roman" w:cs="Calibri Light"/>
          <w:color w:val="auto"/>
          <w:sz w:val="22"/>
          <w:lang w:eastAsia="en-GB"/>
        </w:rPr>
      </w:pPr>
      <w:r w:rsidRPr="00A71F71">
        <w:rPr>
          <w:rFonts w:eastAsia="Times New Roman" w:cs="Calibri Light"/>
          <w:color w:val="auto"/>
          <w:sz w:val="22"/>
          <w:lang w:eastAsia="en-GB"/>
        </w:rPr>
        <w:t>Supplier shall indemnify and hold harmless EIT UM, its Affiliates, partners, contractors and employees in respect of any and all claims, damages, costs and expenses (including but not limited to loss of profit and reasonable attorneys’ fees) in connection with any third party claim that any of the Services alone or in any combination or their use infringes any third party IPRs, or, if so directed by EIT UM, shall defend any such claim at Supplier’s own expense. By “</w:t>
      </w:r>
      <w:r w:rsidRPr="00A71F71">
        <w:rPr>
          <w:rFonts w:eastAsia="Times New Roman" w:cs="Calibri Light"/>
          <w:b/>
          <w:bCs/>
          <w:color w:val="auto"/>
          <w:sz w:val="22"/>
          <w:lang w:eastAsia="en-GB"/>
        </w:rPr>
        <w:t>Affiliates</w:t>
      </w:r>
      <w:r w:rsidRPr="00A71F71">
        <w:rPr>
          <w:rFonts w:eastAsia="Times New Roman" w:cs="Calibri Light"/>
          <w:color w:val="auto"/>
          <w:sz w:val="22"/>
          <w:lang w:eastAsia="en-GB"/>
        </w:rPr>
        <w:t>” is meant any and all companies, firms and legal entities with respect to which now or hereafter EIT UM, directly or indirectly holds 50% or more of the nominal value of the issued share capital or 50% or more of the voting power at general meetings or has the power to appoint a majority of directors or otherwise to direct the activities of such company, firm or legal entity, including but not limitedly through a domination agreement. </w:t>
      </w:r>
    </w:p>
    <w:p w14:paraId="45777A41" w14:textId="77777777" w:rsidR="00D51839" w:rsidRPr="00A71F71" w:rsidRDefault="00D51839" w:rsidP="00D51839">
      <w:pPr>
        <w:pStyle w:val="ListParagraph"/>
        <w:spacing w:after="0" w:line="240" w:lineRule="auto"/>
        <w:ind w:left="1080"/>
        <w:jc w:val="both"/>
        <w:textAlignment w:val="baseline"/>
        <w:rPr>
          <w:rFonts w:eastAsia="Times New Roman" w:cs="Calibri Light"/>
          <w:color w:val="auto"/>
          <w:sz w:val="22"/>
          <w:lang w:eastAsia="en-GB"/>
        </w:rPr>
      </w:pPr>
    </w:p>
    <w:p w14:paraId="1399D719" w14:textId="77777777" w:rsidR="00D51839" w:rsidRDefault="00D51839" w:rsidP="00D51839">
      <w:pPr>
        <w:pStyle w:val="ListParagraph"/>
        <w:numPr>
          <w:ilvl w:val="1"/>
          <w:numId w:val="282"/>
        </w:numPr>
        <w:spacing w:after="0" w:line="240" w:lineRule="auto"/>
        <w:jc w:val="both"/>
        <w:textAlignment w:val="baseline"/>
        <w:rPr>
          <w:rFonts w:eastAsia="Times New Roman" w:cs="Calibri Light"/>
          <w:color w:val="auto"/>
          <w:sz w:val="22"/>
          <w:lang w:eastAsia="en-GB"/>
        </w:rPr>
      </w:pPr>
      <w:r w:rsidRPr="00A71F71">
        <w:rPr>
          <w:rFonts w:eastAsia="Times New Roman" w:cs="Calibri Light"/>
          <w:color w:val="auto"/>
          <w:sz w:val="22"/>
          <w:lang w:eastAsia="en-GB"/>
        </w:rPr>
        <w:t>EIT UM shall give Supplier prompt written notice of any such claim, provided, however, any delay in notice shall not relieve Supplier of its obligations hereunder except to the extent it is prejudiced by such delay. Supplier shall provide all assistance in connection with any such claim as EIT UM may reasonably require. </w:t>
      </w:r>
    </w:p>
    <w:p w14:paraId="0FDD9880" w14:textId="77777777" w:rsidR="00D51839" w:rsidRPr="00A71F71" w:rsidRDefault="00D51839" w:rsidP="00D51839">
      <w:pPr>
        <w:spacing w:after="0" w:line="240" w:lineRule="auto"/>
        <w:jc w:val="both"/>
        <w:textAlignment w:val="baseline"/>
        <w:rPr>
          <w:rFonts w:eastAsia="Times New Roman" w:cs="Calibri Light"/>
          <w:color w:val="auto"/>
          <w:sz w:val="22"/>
          <w:lang w:eastAsia="en-GB"/>
        </w:rPr>
      </w:pPr>
    </w:p>
    <w:p w14:paraId="433025BD" w14:textId="77777777" w:rsidR="00D51839" w:rsidRDefault="00D51839" w:rsidP="00D51839">
      <w:pPr>
        <w:pStyle w:val="ListParagraph"/>
        <w:numPr>
          <w:ilvl w:val="1"/>
          <w:numId w:val="282"/>
        </w:numPr>
        <w:spacing w:after="0" w:line="240" w:lineRule="auto"/>
        <w:jc w:val="both"/>
        <w:textAlignment w:val="baseline"/>
        <w:rPr>
          <w:rFonts w:eastAsia="Times New Roman" w:cs="Calibri Light"/>
          <w:color w:val="auto"/>
          <w:sz w:val="22"/>
          <w:lang w:eastAsia="en-GB"/>
        </w:rPr>
      </w:pPr>
      <w:r w:rsidRPr="00A71F71">
        <w:rPr>
          <w:rFonts w:eastAsia="Times New Roman" w:cs="Calibri Light"/>
          <w:color w:val="auto"/>
          <w:sz w:val="22"/>
          <w:lang w:eastAsia="en-GB"/>
        </w:rPr>
        <w:t>If any Services alone or in any combination, provided under the Agreement are held to constitute an infringement or if their use is enjoined, Supplier shall, as directed by EIT UM, but at its own expense: either 1) procure for EIT UM or its users the right to continue using the Services alone or in any combination; or 2) replace or modify the Services alone or in any combination with a functional, non- infringing equivalent.</w:t>
      </w:r>
    </w:p>
    <w:p w14:paraId="2924A931" w14:textId="77777777" w:rsidR="00D51839" w:rsidRPr="00A71F71" w:rsidRDefault="00D51839" w:rsidP="00D51839">
      <w:pPr>
        <w:spacing w:after="0" w:line="240" w:lineRule="auto"/>
        <w:jc w:val="both"/>
        <w:textAlignment w:val="baseline"/>
        <w:rPr>
          <w:rFonts w:eastAsia="Times New Roman" w:cs="Calibri Light"/>
          <w:color w:val="auto"/>
          <w:sz w:val="22"/>
          <w:lang w:eastAsia="en-GB"/>
        </w:rPr>
      </w:pPr>
      <w:r w:rsidRPr="00A71F71">
        <w:rPr>
          <w:rFonts w:eastAsia="Times New Roman" w:cs="Calibri Light"/>
          <w:color w:val="auto"/>
          <w:sz w:val="22"/>
          <w:lang w:eastAsia="en-GB"/>
        </w:rPr>
        <w:t> </w:t>
      </w:r>
    </w:p>
    <w:p w14:paraId="7E7B74FE" w14:textId="77777777" w:rsidR="00D51839" w:rsidRDefault="00D51839" w:rsidP="00D51839">
      <w:pPr>
        <w:pStyle w:val="ListParagraph"/>
        <w:numPr>
          <w:ilvl w:val="1"/>
          <w:numId w:val="282"/>
        </w:numPr>
        <w:spacing w:after="0" w:line="240" w:lineRule="auto"/>
        <w:jc w:val="both"/>
        <w:textAlignment w:val="baseline"/>
        <w:rPr>
          <w:rFonts w:eastAsia="Times New Roman" w:cs="Calibri Light"/>
          <w:color w:val="auto"/>
          <w:sz w:val="22"/>
          <w:lang w:eastAsia="en-GB"/>
        </w:rPr>
      </w:pPr>
      <w:r w:rsidRPr="00A71F71">
        <w:rPr>
          <w:rFonts w:eastAsia="Times New Roman" w:cs="Calibri Light"/>
          <w:color w:val="auto"/>
          <w:sz w:val="22"/>
          <w:lang w:eastAsia="en-GB"/>
        </w:rPr>
        <w:t>If Supplier is unable either to procure for EIT UM the right to continue to use the Services alone or in any combination or to replace or modify the Services alone or in any combination in accordance with the above, EIT UM may terminate the Agreement and upon such termination, Supplier shall reimburse to EIT UM the price paid, without prejudice to Supplier's obligation to indemnify EIT UM as set forth herein. </w:t>
      </w:r>
    </w:p>
    <w:p w14:paraId="61443D51" w14:textId="77777777" w:rsidR="00D51839" w:rsidRPr="00A71F71" w:rsidRDefault="00D51839" w:rsidP="00D51839">
      <w:pPr>
        <w:pStyle w:val="ListParagraph"/>
        <w:rPr>
          <w:rFonts w:eastAsia="Times New Roman" w:cs="Calibri Light"/>
          <w:color w:val="auto"/>
          <w:sz w:val="22"/>
          <w:lang w:eastAsia="en-GB"/>
        </w:rPr>
      </w:pPr>
    </w:p>
    <w:p w14:paraId="11F12ECF" w14:textId="77777777" w:rsidR="00D51839" w:rsidRPr="00A71F71" w:rsidRDefault="00D51839" w:rsidP="00D51839">
      <w:pPr>
        <w:pStyle w:val="ListParagraph"/>
        <w:spacing w:after="0" w:line="240" w:lineRule="auto"/>
        <w:ind w:left="1080"/>
        <w:jc w:val="both"/>
        <w:textAlignment w:val="baseline"/>
        <w:rPr>
          <w:rFonts w:eastAsia="Times New Roman" w:cs="Calibri Light"/>
          <w:color w:val="auto"/>
          <w:sz w:val="22"/>
          <w:lang w:eastAsia="en-GB"/>
        </w:rPr>
      </w:pPr>
    </w:p>
    <w:p w14:paraId="6C9D81A1" w14:textId="77777777" w:rsidR="00D51839" w:rsidRDefault="00D51839" w:rsidP="00D51839">
      <w:pPr>
        <w:numPr>
          <w:ilvl w:val="0"/>
          <w:numId w:val="118"/>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Confidentiality, documents </w:t>
      </w:r>
    </w:p>
    <w:p w14:paraId="7182F3CC"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47CFD21E" w14:textId="77777777" w:rsidR="00D51839" w:rsidRDefault="00D51839" w:rsidP="00D51839">
      <w:pPr>
        <w:numPr>
          <w:ilvl w:val="0"/>
          <w:numId w:val="11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w:t>
      </w:r>
      <w:r w:rsidRPr="00ED36B4">
        <w:rPr>
          <w:rFonts w:eastAsia="Times New Roman" w:cs="Calibri Light"/>
          <w:b/>
          <w:bCs/>
          <w:color w:val="auto"/>
          <w:sz w:val="22"/>
          <w:lang w:eastAsia="en-GB"/>
        </w:rPr>
        <w:t>Confidential Information</w:t>
      </w:r>
      <w:r w:rsidRPr="00ED36B4">
        <w:rPr>
          <w:rFonts w:eastAsia="Times New Roman" w:cs="Calibri Light"/>
          <w:color w:val="auto"/>
          <w:sz w:val="22"/>
          <w:lang w:eastAsia="en-GB"/>
        </w:rPr>
        <w:t xml:space="preserve">” means any and all proprietary and/or confidential data and information, such as but not limited to commercial and/or technical information, that EIT UM, its Affiliates or representatives may disclose directly or indirectly, whether in writing or any other form, to Supplier that is related to the Service, which (a) is marked as “confidential” or </w:t>
      </w:r>
      <w:r w:rsidRPr="00ED36B4">
        <w:rPr>
          <w:rFonts w:eastAsia="Times New Roman" w:cs="Calibri Light"/>
          <w:color w:val="auto"/>
          <w:sz w:val="22"/>
          <w:lang w:eastAsia="en-GB"/>
        </w:rPr>
        <w:lastRenderedPageBreak/>
        <w:t>“proprietary” or words of similar import when disclosed, and (b) is orally disclosed and is summarized and described as confidential in a writing that is delivered to Supplier within fifteen (15) days of disclosure.</w:t>
      </w:r>
    </w:p>
    <w:p w14:paraId="0ABCB03A"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3C1670F" w14:textId="77777777" w:rsidR="00D51839" w:rsidRDefault="00D51839" w:rsidP="00D51839">
      <w:pPr>
        <w:numPr>
          <w:ilvl w:val="0"/>
          <w:numId w:val="120"/>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During the period beginning on the Effective Date (as specified in </w:t>
      </w:r>
      <w:r w:rsidRPr="00ED36B4">
        <w:rPr>
          <w:rFonts w:eastAsia="Times New Roman" w:cs="Calibri Light"/>
          <w:color w:val="auto"/>
          <w:sz w:val="22"/>
          <w:u w:val="single"/>
          <w:lang w:eastAsia="en-GB"/>
        </w:rPr>
        <w:t>Annex I</w:t>
      </w:r>
      <w:r w:rsidRPr="00ED36B4">
        <w:rPr>
          <w:rFonts w:eastAsia="Times New Roman" w:cs="Calibri Light"/>
          <w:color w:val="auto"/>
          <w:sz w:val="22"/>
          <w:lang w:eastAsia="en-GB"/>
        </w:rPr>
        <w:t>) and continuing for a period of five (5) years thereafter (the “</w:t>
      </w:r>
      <w:r w:rsidRPr="00ED36B4">
        <w:rPr>
          <w:rFonts w:eastAsia="Times New Roman" w:cs="Calibri Light"/>
          <w:b/>
          <w:bCs/>
          <w:color w:val="auto"/>
          <w:sz w:val="22"/>
          <w:lang w:eastAsia="en-GB"/>
        </w:rPr>
        <w:t>Confidentiality Period</w:t>
      </w:r>
      <w:r w:rsidRPr="00ED36B4">
        <w:rPr>
          <w:rFonts w:eastAsia="Times New Roman" w:cs="Calibri Light"/>
          <w:color w:val="auto"/>
          <w:sz w:val="22"/>
          <w:lang w:eastAsia="en-GB"/>
        </w:rPr>
        <w:t>”), Supplier agrees not to: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use EIT UM’ Confidential Information for any purpose other than for the Service; and (ii) disclose EIT UM Confidential Information to any third party, except to its employees and other persons under its supervision that are operating within its organization, including without limitation, its Partners’ employees who (A) have a legitimate “need to know” to accomplish the Service, and (B) are obligated to protect such Confidential Information pursuant to terms and conditions not less restrictive than those contained in this Agreement. Supplier shall protect EIT UM’ Confidential Information as required hereunder using the same degree of care, but no less than a reasonable degree of care, as Supplier uses to protect its own confidential information of a like nature. </w:t>
      </w:r>
    </w:p>
    <w:p w14:paraId="2D9B5097"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A6F75CA" w14:textId="77777777" w:rsidR="00D51839" w:rsidRDefault="00D51839" w:rsidP="00D51839">
      <w:pPr>
        <w:numPr>
          <w:ilvl w:val="0"/>
          <w:numId w:val="121"/>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Supplier’s obligations above shall not apply to any data or information that it can prove: (a) is lawfully available to Supplier, prior to the time of receipt from EIT UM as verified by written records; (b) is or becomes publicly available without violation of this Agreement or any other obligation of confidentiality and through no act or omission of Supplier; (c) is lawfully furnished to Supplier by a third party without use or disclosure restrictions; or (d) is developed by Supplier without use of or reference to any of EIT UM’ Confidential Information. Furthermore, a disclosure by Supplier that is required pursuant to any judicial or governmental proceeding shall not be considered a breach of this Agreement, provided that Supplier promptly after learning of such action shall notify, to the extent permitted by applicable law, EIT UM thereof to give EIT UM the opportunity to contest disclosure or to seek any available legal remedies to maintain such information in confidence. </w:t>
      </w:r>
    </w:p>
    <w:p w14:paraId="6106A46B"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6DE7523" w14:textId="77777777" w:rsidR="00D51839" w:rsidRDefault="00D51839" w:rsidP="00D51839">
      <w:pPr>
        <w:numPr>
          <w:ilvl w:val="0"/>
          <w:numId w:val="122"/>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is not permitted - alone or with or through others – to remove, dispatch, transmit or allow any third parties to inspect, use or otherwise have access to any property belonging to EIT UM or any of its Affiliates, including but not limited to any notes, drawings, letters, formulas, recipes, other documents and/or any copies thereof, tools, designs, products manufactured or (copies of) computer files or other data carriers, unless EIT UM has given its prior written permission to any such action. </w:t>
      </w:r>
    </w:p>
    <w:p w14:paraId="2F409882"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C277011" w14:textId="77777777" w:rsidR="00D51839" w:rsidRDefault="00D51839" w:rsidP="00D51839">
      <w:pPr>
        <w:numPr>
          <w:ilvl w:val="0"/>
          <w:numId w:val="123"/>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EIT UM shall remain the owner of all property it has made available to Supplier in connection with this Agreement. </w:t>
      </w:r>
    </w:p>
    <w:p w14:paraId="700328E5"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4444C889" w14:textId="77777777" w:rsidR="00D51839" w:rsidRDefault="00D51839" w:rsidP="00D51839">
      <w:pPr>
        <w:numPr>
          <w:ilvl w:val="0"/>
          <w:numId w:val="124"/>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shall make all property belonging to EIT UM (or its Affiliates) such as, but not limited to any notes, drawings, letters, formulas, recipes, other documents and/or copies of such matters, tools, models, finished products, (copies of) automated files or other data carriers, which come into its possession during the term of this Agreement, available to EIT UM in good condition immediately upon initial request, but in any case on the day on which the Agreement ends. </w:t>
      </w:r>
    </w:p>
    <w:p w14:paraId="1DCE069D"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3E07C85" w14:textId="77777777" w:rsidR="00D51839" w:rsidRDefault="00D51839" w:rsidP="00D51839">
      <w:pPr>
        <w:numPr>
          <w:ilvl w:val="0"/>
          <w:numId w:val="125"/>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Personal data </w:t>
      </w:r>
    </w:p>
    <w:p w14:paraId="5615B8BB"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1A5CC38A" w14:textId="77777777" w:rsidR="00D51839" w:rsidRPr="00ED36B4" w:rsidRDefault="00D51839" w:rsidP="00D51839">
      <w:pPr>
        <w:numPr>
          <w:ilvl w:val="0"/>
          <w:numId w:val="12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For the purpose of this Agreement,  </w:t>
      </w:r>
    </w:p>
    <w:p w14:paraId="73C6444B" w14:textId="77777777" w:rsidR="00D51839" w:rsidRPr="00ED36B4" w:rsidRDefault="00D51839" w:rsidP="00D51839">
      <w:pPr>
        <w:numPr>
          <w:ilvl w:val="0"/>
          <w:numId w:val="127"/>
        </w:numPr>
        <w:spacing w:after="0" w:line="240" w:lineRule="auto"/>
        <w:ind w:left="1155"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lastRenderedPageBreak/>
        <w:t>“</w:t>
      </w:r>
      <w:r w:rsidRPr="00ED36B4">
        <w:rPr>
          <w:rFonts w:eastAsia="Times New Roman" w:cs="Calibri Light"/>
          <w:b/>
          <w:bCs/>
          <w:color w:val="auto"/>
          <w:sz w:val="22"/>
          <w:lang w:eastAsia="en-GB"/>
        </w:rPr>
        <w:t>Personal Data</w:t>
      </w:r>
      <w:r w:rsidRPr="00ED36B4">
        <w:rPr>
          <w:rFonts w:eastAsia="Times New Roman" w:cs="Calibri Light"/>
          <w:color w:val="auto"/>
          <w:sz w:val="22"/>
          <w:lang w:eastAsia="en-GB"/>
        </w:rPr>
        <w:t>” shall mean any and all information relating to an identified or identifiable individual, including but not limited to EIT UM current or former employees, employee family members, dependents or beneficiaries, customers, consumers, suppliers, business partners or contractors; </w:t>
      </w:r>
    </w:p>
    <w:p w14:paraId="1836F62C" w14:textId="77777777" w:rsidR="00D51839" w:rsidRDefault="00D51839" w:rsidP="00D51839">
      <w:pPr>
        <w:numPr>
          <w:ilvl w:val="0"/>
          <w:numId w:val="128"/>
        </w:numPr>
        <w:spacing w:after="0" w:line="240" w:lineRule="auto"/>
        <w:ind w:left="1155"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w:t>
      </w:r>
      <w:r w:rsidRPr="00ED36B4">
        <w:rPr>
          <w:rFonts w:eastAsia="Times New Roman" w:cs="Calibri Light"/>
          <w:b/>
          <w:bCs/>
          <w:color w:val="auto"/>
          <w:sz w:val="22"/>
          <w:lang w:eastAsia="en-GB"/>
        </w:rPr>
        <w:t>Processing</w:t>
      </w:r>
      <w:r w:rsidRPr="00ED36B4">
        <w:rPr>
          <w:rFonts w:eastAsia="Times New Roman" w:cs="Calibri Light"/>
          <w:color w:val="auto"/>
          <w:sz w:val="22"/>
          <w:lang w:eastAsia="en-GB"/>
        </w:rPr>
        <w:t>” shall mean any operation or set of operations performed or to be performed upon Personal Data, whether or not by automatic means, such as creation, access, collection, recording, organization, storage, loading, employing, adaptation or alteration, retrieval, consultation, displaying, use, disclosure, dissemination or otherwise making available, alignment or combination, blocking, erasure or destruction (hereinafter also referred to as a verb “</w:t>
      </w:r>
      <w:r w:rsidRPr="00ED36B4">
        <w:rPr>
          <w:rFonts w:eastAsia="Times New Roman" w:cs="Calibri Light"/>
          <w:b/>
          <w:bCs/>
          <w:color w:val="auto"/>
          <w:sz w:val="22"/>
          <w:lang w:eastAsia="en-GB"/>
        </w:rPr>
        <w:t>Process</w:t>
      </w:r>
      <w:r w:rsidRPr="00ED36B4">
        <w:rPr>
          <w:rFonts w:eastAsia="Times New Roman" w:cs="Calibri Light"/>
          <w:color w:val="auto"/>
          <w:sz w:val="22"/>
          <w:lang w:eastAsia="en-GB"/>
        </w:rPr>
        <w:t>”). </w:t>
      </w:r>
    </w:p>
    <w:p w14:paraId="0F8EB274" w14:textId="77777777" w:rsidR="00D51839" w:rsidRPr="00ED36B4" w:rsidRDefault="00D51839" w:rsidP="00D51839">
      <w:pPr>
        <w:spacing w:after="0" w:line="240" w:lineRule="auto"/>
        <w:ind w:left="1155"/>
        <w:jc w:val="both"/>
        <w:textAlignment w:val="baseline"/>
        <w:rPr>
          <w:rFonts w:eastAsia="Times New Roman" w:cs="Calibri Light"/>
          <w:color w:val="auto"/>
          <w:sz w:val="22"/>
          <w:lang w:eastAsia="en-GB"/>
        </w:rPr>
      </w:pPr>
    </w:p>
    <w:p w14:paraId="7060D604" w14:textId="77777777" w:rsidR="00D51839" w:rsidRPr="00ED36B4" w:rsidRDefault="00D51839" w:rsidP="00D51839">
      <w:pPr>
        <w:numPr>
          <w:ilvl w:val="0"/>
          <w:numId w:val="12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Where Supplier in the performance of the Agreement Processes Personal Data, then Supplier agrees and warrants that Supplier shall: </w:t>
      </w:r>
    </w:p>
    <w:p w14:paraId="4DFF5B67" w14:textId="77777777" w:rsidR="00D51839" w:rsidRPr="00ED36B4" w:rsidRDefault="00D51839" w:rsidP="00D51839">
      <w:pPr>
        <w:numPr>
          <w:ilvl w:val="0"/>
          <w:numId w:val="130"/>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comply with all privacy and data protection law and regulations applicable to its Services; </w:t>
      </w:r>
    </w:p>
    <w:p w14:paraId="58625350" w14:textId="77777777" w:rsidR="00D51839" w:rsidRPr="00ED36B4" w:rsidRDefault="00D51839" w:rsidP="00D51839">
      <w:pPr>
        <w:numPr>
          <w:ilvl w:val="0"/>
          <w:numId w:val="131"/>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Process Personal Data only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on behalf of and for the benefit of EIT UM, (ii) in accordance with EIT UM’ instructions, and (iii) for the purposes authorized by this Agreement or otherwise by EIT UM, and (iv) insofar necessary for the Services rendered to EIT UM and as permitted or required by law; </w:t>
      </w:r>
    </w:p>
    <w:p w14:paraId="4F22F62F" w14:textId="77777777" w:rsidR="00D51839" w:rsidRPr="00ED36B4" w:rsidRDefault="00D51839" w:rsidP="00D51839">
      <w:pPr>
        <w:numPr>
          <w:ilvl w:val="0"/>
          <w:numId w:val="132"/>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maintain the security, confidentiality, integrity and availability of the Personal Data; </w:t>
      </w:r>
    </w:p>
    <w:p w14:paraId="0B4B45EA" w14:textId="77777777" w:rsidR="00D51839" w:rsidRPr="00ED36B4" w:rsidRDefault="00D51839" w:rsidP="00D51839">
      <w:pPr>
        <w:numPr>
          <w:ilvl w:val="0"/>
          <w:numId w:val="133"/>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implement and maintain appropriate technical, physical, organizational and administrative security measures, procedures, practices and other safeguards to protect the Personal Data against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anticipatable threats or hazards to its security and integrity; and (ii) loss, unauthorized access to, or acquisition or use of or unlawful Processing; and </w:t>
      </w:r>
    </w:p>
    <w:p w14:paraId="61C5D781" w14:textId="77777777" w:rsidR="00D51839" w:rsidRPr="00ED36B4" w:rsidRDefault="00D51839" w:rsidP="00D51839">
      <w:pPr>
        <w:numPr>
          <w:ilvl w:val="0"/>
          <w:numId w:val="134"/>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promptly inform EIT UM of any actual or suspected security incident involving the Personal Data. </w:t>
      </w:r>
    </w:p>
    <w:p w14:paraId="7DE96439" w14:textId="77777777" w:rsidR="00D51839" w:rsidRPr="00ED36B4" w:rsidRDefault="00D51839" w:rsidP="00D51839">
      <w:pPr>
        <w:spacing w:after="0" w:line="240" w:lineRule="auto"/>
        <w:ind w:left="555"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7DB6E247" w14:textId="77777777" w:rsidR="00D51839" w:rsidRDefault="00D51839" w:rsidP="00D51839">
      <w:pPr>
        <w:spacing w:after="0" w:line="240" w:lineRule="auto"/>
        <w:ind w:left="705" w:right="-15"/>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 xml:space="preserve">Without prejudice to the above, where Supplier in the performance of the Agreement processes Personal Data, the Parties also execute the data processing agreement attached as </w:t>
      </w:r>
      <w:r w:rsidRPr="00ED36B4">
        <w:rPr>
          <w:rFonts w:eastAsia="Times New Roman" w:cs="Calibri Light"/>
          <w:color w:val="auto"/>
          <w:sz w:val="22"/>
          <w:u w:val="single"/>
          <w:lang w:val="hu-HU" w:eastAsia="en-GB"/>
        </w:rPr>
        <w:t>Annex 2</w:t>
      </w:r>
      <w:r w:rsidRPr="00ED36B4">
        <w:rPr>
          <w:rFonts w:eastAsia="Times New Roman" w:cs="Calibri Light"/>
          <w:color w:val="auto"/>
          <w:sz w:val="22"/>
          <w:lang w:val="hu-HU" w:eastAsia="en-GB"/>
        </w:rPr>
        <w:t xml:space="preserve">. </w:t>
      </w:r>
      <w:r w:rsidRPr="00ED36B4">
        <w:rPr>
          <w:rFonts w:eastAsia="Times New Roman" w:cs="Calibri Light"/>
          <w:color w:val="auto"/>
          <w:sz w:val="22"/>
          <w:lang w:eastAsia="en-GB"/>
        </w:rPr>
        <w:t>  </w:t>
      </w:r>
    </w:p>
    <w:p w14:paraId="6C13BC7F"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p>
    <w:p w14:paraId="4C3333F8" w14:textId="77777777" w:rsidR="00D51839" w:rsidRDefault="00D51839" w:rsidP="00D51839">
      <w:pPr>
        <w:numPr>
          <w:ilvl w:val="0"/>
          <w:numId w:val="13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To the extent that Supplier allows a (sub)contractor to process the Personal Data, Supplier shall ensure that it binds such (sub)contractor to obligations which provide a similar level of protection, but in no way less restrictive, as this </w:t>
      </w:r>
      <w:r w:rsidRPr="00ED36B4">
        <w:rPr>
          <w:rFonts w:eastAsia="Times New Roman" w:cs="Calibri Light"/>
          <w:color w:val="000000"/>
          <w:sz w:val="22"/>
          <w:shd w:val="clear" w:color="auto" w:fill="E1E3E6"/>
          <w:lang w:eastAsia="en-GB"/>
        </w:rPr>
        <w:t>Article 8:</w:t>
      </w:r>
      <w:r w:rsidRPr="00ED36B4">
        <w:rPr>
          <w:rFonts w:eastAsia="Times New Roman" w:cs="Calibri Light"/>
          <w:color w:val="auto"/>
          <w:sz w:val="22"/>
          <w:lang w:eastAsia="en-GB"/>
        </w:rPr>
        <w:t>. </w:t>
      </w:r>
    </w:p>
    <w:p w14:paraId="635D9738"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87F2F4A" w14:textId="77777777" w:rsidR="00D51839" w:rsidRDefault="00D51839" w:rsidP="00D51839">
      <w:pPr>
        <w:numPr>
          <w:ilvl w:val="0"/>
          <w:numId w:val="13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shall, upon the termination of the Agreement, securely erase or destroy all records or documents containing the Personal Data. Supplier accepts and confirms that it is solely liable for any unauthorized or illegal processing or loss of the Personal Data, if Supplier fails to erase or destroy the Personal Data upon termination of the Agreement. </w:t>
      </w:r>
    </w:p>
    <w:p w14:paraId="6245EB98"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F6C0B86" w14:textId="77777777" w:rsidR="00D51839" w:rsidRDefault="00D51839" w:rsidP="00D51839">
      <w:pPr>
        <w:numPr>
          <w:ilvl w:val="0"/>
          <w:numId w:val="137"/>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Supplier shall indemnify and hold harmless EIT UM, their officers, agents and personnel from any damages, fines, losses and claims arising out of a breach of this </w:t>
      </w:r>
      <w:r w:rsidRPr="00ED36B4">
        <w:rPr>
          <w:rFonts w:eastAsia="Times New Roman" w:cs="Calibri Light"/>
          <w:color w:val="000000"/>
          <w:sz w:val="22"/>
          <w:shd w:val="clear" w:color="auto" w:fill="E1E3E6"/>
          <w:lang w:eastAsia="en-GB"/>
        </w:rPr>
        <w:t>Article 8:</w:t>
      </w:r>
      <w:r w:rsidRPr="00ED36B4">
        <w:rPr>
          <w:rFonts w:eastAsia="Times New Roman" w:cs="Calibri Light"/>
          <w:color w:val="auto"/>
          <w:sz w:val="22"/>
          <w:lang w:eastAsia="en-GB"/>
        </w:rPr>
        <w:t>. </w:t>
      </w:r>
    </w:p>
    <w:p w14:paraId="5F02DD55"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BF1F4ED" w14:textId="77777777" w:rsidR="00D51839" w:rsidRDefault="00D51839" w:rsidP="00D51839">
      <w:pPr>
        <w:numPr>
          <w:ilvl w:val="0"/>
          <w:numId w:val="138"/>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Liability, indemnification, insurance </w:t>
      </w:r>
    </w:p>
    <w:p w14:paraId="5C4DE2EA"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33071B67" w14:textId="77777777" w:rsidR="00D51839" w:rsidRDefault="00D51839" w:rsidP="00D51839">
      <w:pPr>
        <w:numPr>
          <w:ilvl w:val="0"/>
          <w:numId w:val="13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lastRenderedPageBreak/>
        <w:t>Supplier shall indemnify and hold harmless EIT UM, its Affiliates, agents and employees, from and against all suits, actions, legal or administrative proceedings, claims, demands, damages, judgments, liabilities, interest, attorneys’ fees, costs and expenses of whatsoever kind or nature (including but not limited to special, indirect, incidental, consequential damages), whether arising before or after completion of the performance of the Services covered by the Agreement, in any manner caused or claimed to be caused by the acts, omissions, faults, breach of express or implied warranty, breach of any of the provisions of this Agreement, or negligence of Supplier, or of anyone acting under its direction or control or on its behalf, in connection with Services or any other information furnished by Supplier to EIT UM under the Agreement. </w:t>
      </w:r>
    </w:p>
    <w:p w14:paraId="32B30394"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89D1158" w14:textId="77777777" w:rsidR="00D51839" w:rsidRDefault="00D51839" w:rsidP="00D51839">
      <w:pPr>
        <w:numPr>
          <w:ilvl w:val="0"/>
          <w:numId w:val="140"/>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warrants that it has taken out sufficient insurance against the aforementioned damage, costs and interest, or has made a sufficient provision for this purpose and is obliged to fully disclose to EIT UM immediately upon initial request all the (policy conditions of the) aforementioned insurance(s) and/or provisions. Supplier shall indemnify EIT UM and shall pay its insurance proceeds to EIT UM and furthermore indemnify for the excess amount of the total claim of damages that is not covered by the insurance of Supplier or any other insurance. EIT UM shall be entitled to take legal action against Supplier. </w:t>
      </w:r>
    </w:p>
    <w:p w14:paraId="5CAF28DF"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46BFCCED" w14:textId="77777777" w:rsidR="00D51839" w:rsidRDefault="00D51839" w:rsidP="00D51839">
      <w:pPr>
        <w:numPr>
          <w:ilvl w:val="0"/>
          <w:numId w:val="141"/>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Neither Party excludes or limits its liability for death or personal injury arising from its own negligence, fraud, breach of confidentiality or for any liability that cannot by law be excluded or limited. </w:t>
      </w:r>
    </w:p>
    <w:p w14:paraId="472578BD"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395BFEF" w14:textId="77777777" w:rsidR="00D51839" w:rsidRDefault="00D51839" w:rsidP="00D51839">
      <w:pPr>
        <w:numPr>
          <w:ilvl w:val="0"/>
          <w:numId w:val="142"/>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Subject to Article </w:t>
      </w:r>
      <w:r w:rsidRPr="00ED36B4">
        <w:rPr>
          <w:rFonts w:eastAsia="Times New Roman" w:cs="Calibri Light"/>
          <w:color w:val="000000"/>
          <w:sz w:val="22"/>
          <w:shd w:val="clear" w:color="auto" w:fill="E1E3E6"/>
          <w:lang w:eastAsia="en-GB"/>
        </w:rPr>
        <w:t>9.3</w:t>
      </w:r>
      <w:r w:rsidRPr="00ED36B4">
        <w:rPr>
          <w:rFonts w:eastAsia="Times New Roman" w:cs="Calibri Light"/>
          <w:color w:val="auto"/>
          <w:sz w:val="22"/>
          <w:lang w:eastAsia="en-GB"/>
        </w:rPr>
        <w:t>, in no event shall EIT UM be liable under any theory of liability, for indirect, incidental, special, consequential or punitive damages, which includes without limitation damages for lost profits or revenues, lost business opportunities, loss of image or lost data, even if EIT UM has been advised of the possibility of such damages and in no event shall EIT UM be liable to Supplier, its successors or assigns for damages in excess of the amount due to Supplier for complete performance under the Agreement, less any amounts already paid to Supplier by EIT UM. </w:t>
      </w:r>
    </w:p>
    <w:p w14:paraId="22F0DC10"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D371A0C" w14:textId="77777777" w:rsidR="00D51839" w:rsidRDefault="00D51839" w:rsidP="00D51839">
      <w:pPr>
        <w:numPr>
          <w:ilvl w:val="0"/>
          <w:numId w:val="143"/>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Subject always to Article </w:t>
      </w:r>
      <w:r w:rsidRPr="00ED36B4">
        <w:rPr>
          <w:rFonts w:eastAsia="Times New Roman" w:cs="Calibri Light"/>
          <w:color w:val="000000"/>
          <w:sz w:val="22"/>
          <w:shd w:val="clear" w:color="auto" w:fill="E1E3E6"/>
          <w:lang w:eastAsia="en-GB"/>
        </w:rPr>
        <w:t>9.3</w:t>
      </w:r>
      <w:r w:rsidRPr="00ED36B4">
        <w:rPr>
          <w:rFonts w:eastAsia="Times New Roman" w:cs="Calibri Light"/>
          <w:color w:val="auto"/>
          <w:sz w:val="22"/>
          <w:lang w:eastAsia="en-GB"/>
        </w:rPr>
        <w:t xml:space="preserve">, depending on the nature of the Services and the liability risk associated therewith, a cap to the liability of Supplier under this Agreement may apply only if expressly mutually agreed in writing in </w:t>
      </w:r>
      <w:r w:rsidRPr="00ED36B4">
        <w:rPr>
          <w:rFonts w:eastAsia="Times New Roman" w:cs="Calibri Light"/>
          <w:color w:val="auto"/>
          <w:sz w:val="22"/>
          <w:u w:val="single"/>
          <w:lang w:eastAsia="en-GB"/>
        </w:rPr>
        <w:t>Annex 1</w:t>
      </w:r>
      <w:r w:rsidRPr="00ED36B4">
        <w:rPr>
          <w:rFonts w:eastAsia="Times New Roman" w:cs="Calibri Light"/>
          <w:color w:val="auto"/>
          <w:sz w:val="22"/>
          <w:lang w:eastAsia="en-GB"/>
        </w:rPr>
        <w:t>. </w:t>
      </w:r>
    </w:p>
    <w:p w14:paraId="15EEF5BC"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B55E9B1" w14:textId="77777777" w:rsidR="00D51839" w:rsidRDefault="00D51839" w:rsidP="00D51839">
      <w:pPr>
        <w:numPr>
          <w:ilvl w:val="0"/>
          <w:numId w:val="144"/>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Suspension, termination of the Agreement </w:t>
      </w:r>
    </w:p>
    <w:p w14:paraId="1AEFB903" w14:textId="34F7F282" w:rsidR="00C062F6" w:rsidRPr="00C062F6" w:rsidRDefault="00C062F6" w:rsidP="00C062F6">
      <w:pPr>
        <w:spacing w:after="0" w:line="240" w:lineRule="auto"/>
        <w:jc w:val="both"/>
        <w:textAlignment w:val="baseline"/>
        <w:rPr>
          <w:rFonts w:eastAsia="Times New Roman" w:cs="Calibri Light"/>
          <w:color w:val="auto"/>
          <w:sz w:val="22"/>
          <w:lang w:eastAsia="en-GB"/>
        </w:rPr>
      </w:pPr>
    </w:p>
    <w:p w14:paraId="453D00AD" w14:textId="7BD1E31F" w:rsidR="00C062F6" w:rsidRDefault="00C062F6" w:rsidP="00C062F6">
      <w:pPr>
        <w:spacing w:after="0" w:line="240" w:lineRule="auto"/>
        <w:ind w:left="720"/>
        <w:jc w:val="both"/>
        <w:textAlignment w:val="baseline"/>
        <w:rPr>
          <w:rFonts w:eastAsia="Times New Roman" w:cs="Calibri Light"/>
          <w:color w:val="auto"/>
          <w:sz w:val="22"/>
          <w:lang w:eastAsia="en-GB"/>
        </w:rPr>
      </w:pPr>
      <w:r>
        <w:rPr>
          <w:rFonts w:eastAsia="Times New Roman" w:cs="Calibri Light"/>
          <w:color w:val="auto"/>
          <w:sz w:val="22"/>
          <w:lang w:eastAsia="en-GB"/>
        </w:rPr>
        <w:t xml:space="preserve">1. </w:t>
      </w:r>
      <w:r>
        <w:rPr>
          <w:rFonts w:eastAsia="Times New Roman" w:cs="Calibri Light"/>
          <w:color w:val="auto"/>
          <w:sz w:val="22"/>
          <w:lang w:eastAsia="en-GB"/>
        </w:rPr>
        <w:tab/>
      </w:r>
      <w:r w:rsidRPr="00C062F6">
        <w:rPr>
          <w:rFonts w:eastAsia="Times New Roman" w:cs="Calibri Light"/>
          <w:color w:val="auto"/>
          <w:sz w:val="22"/>
          <w:lang w:eastAsia="en-GB"/>
        </w:rPr>
        <w:t>This Agreement shall not become effective until the signature and come into effect of the grant agreement by EIT and the European Institute of Innovation and Technology for the business plan 2026-2027. EIT UM shall notify the Supplier of such signature and effective start date</w:t>
      </w:r>
      <w:r>
        <w:rPr>
          <w:rFonts w:eastAsia="Times New Roman" w:cs="Calibri Light"/>
          <w:color w:val="auto"/>
          <w:sz w:val="22"/>
          <w:lang w:eastAsia="en-GB"/>
        </w:rPr>
        <w:t>.</w:t>
      </w:r>
    </w:p>
    <w:p w14:paraId="20A2B2CF" w14:textId="77777777" w:rsidR="00C062F6" w:rsidRDefault="00C062F6" w:rsidP="00C062F6">
      <w:pPr>
        <w:spacing w:after="0" w:line="240" w:lineRule="auto"/>
        <w:ind w:left="720"/>
        <w:jc w:val="both"/>
        <w:textAlignment w:val="baseline"/>
        <w:rPr>
          <w:rFonts w:eastAsia="Times New Roman" w:cs="Calibri Light"/>
          <w:color w:val="auto"/>
          <w:sz w:val="22"/>
          <w:lang w:eastAsia="en-GB"/>
        </w:rPr>
      </w:pPr>
    </w:p>
    <w:p w14:paraId="77A96F52" w14:textId="3E031A97" w:rsidR="00D51839" w:rsidRDefault="00D51839" w:rsidP="00D51839">
      <w:pPr>
        <w:numPr>
          <w:ilvl w:val="0"/>
          <w:numId w:val="14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Agreement shall end by operation of law, without the requirement of prior notice of termination, on the date the last of the Services have been delivered by Supplier, accepted and paid by EIT UM (the “</w:t>
      </w:r>
      <w:r w:rsidRPr="00ED36B4">
        <w:rPr>
          <w:rFonts w:eastAsia="Times New Roman" w:cs="Calibri Light"/>
          <w:b/>
          <w:bCs/>
          <w:color w:val="auto"/>
          <w:sz w:val="22"/>
          <w:lang w:eastAsia="en-GB"/>
        </w:rPr>
        <w:t>Term</w:t>
      </w:r>
      <w:r w:rsidRPr="00ED36B4">
        <w:rPr>
          <w:rFonts w:eastAsia="Times New Roman" w:cs="Calibri Light"/>
          <w:color w:val="auto"/>
          <w:sz w:val="22"/>
          <w:lang w:eastAsia="en-GB"/>
        </w:rPr>
        <w:t>”). </w:t>
      </w:r>
    </w:p>
    <w:p w14:paraId="3A209799"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F649756" w14:textId="77777777" w:rsidR="00D51839" w:rsidRPr="00ED36B4" w:rsidRDefault="00D51839" w:rsidP="00D51839">
      <w:pPr>
        <w:numPr>
          <w:ilvl w:val="0"/>
          <w:numId w:val="14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lastRenderedPageBreak/>
        <w:t>As an exception to the above, EIT UM may suspend, withdraw, dissolve or terminate this Agreement fully or partially with immediate effect without incurring any penalty or compensation if and as soon as: </w:t>
      </w:r>
    </w:p>
    <w:p w14:paraId="210E6E0C" w14:textId="77777777" w:rsidR="00D51839" w:rsidRPr="00ED36B4" w:rsidRDefault="00D51839" w:rsidP="00D51839">
      <w:pPr>
        <w:numPr>
          <w:ilvl w:val="0"/>
          <w:numId w:val="147"/>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breaches any of its material obligations under this Agreement and, notwithstanding a written request from EIT UM to repair the current breach and to take appropriate measures to prevent such a breach in the future, fails to comply with such a request within a reasonable deadline fixed by EIT UM in the notice; or </w:t>
      </w:r>
    </w:p>
    <w:p w14:paraId="41A097DA" w14:textId="77777777" w:rsidR="00D51839" w:rsidRPr="00ED36B4" w:rsidRDefault="00D51839" w:rsidP="00D51839">
      <w:pPr>
        <w:numPr>
          <w:ilvl w:val="0"/>
          <w:numId w:val="148"/>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EIT UM, in its reasonable discretion, determines that Supplier is not able to perform the Services as required; or </w:t>
      </w:r>
    </w:p>
    <w:p w14:paraId="48EE69B3" w14:textId="77777777" w:rsidR="00D51839" w:rsidRPr="00ED36B4" w:rsidRDefault="00D51839" w:rsidP="00D51839">
      <w:pPr>
        <w:numPr>
          <w:ilvl w:val="0"/>
          <w:numId w:val="149"/>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fails to provide EIT UM with adequate assurance of performance following request by EIT UM; or </w:t>
      </w:r>
    </w:p>
    <w:p w14:paraId="7D59DA41" w14:textId="77777777" w:rsidR="00D51839" w:rsidRPr="00ED36B4" w:rsidRDefault="00D51839" w:rsidP="00D51839">
      <w:pPr>
        <w:numPr>
          <w:ilvl w:val="0"/>
          <w:numId w:val="150"/>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files a petition for bankruptcy or is declared bankrupt; or </w:t>
      </w:r>
    </w:p>
    <w:p w14:paraId="7B16F4D5" w14:textId="77777777" w:rsidR="00D51839" w:rsidRPr="00ED36B4" w:rsidRDefault="00D51839" w:rsidP="00D51839">
      <w:pPr>
        <w:numPr>
          <w:ilvl w:val="0"/>
          <w:numId w:val="151"/>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has become unable to pay its debts as they fall due or make any special arrangement(s) or composition with its creditors;  </w:t>
      </w:r>
    </w:p>
    <w:p w14:paraId="3ABB8E15" w14:textId="77777777" w:rsidR="00D51839" w:rsidRPr="00ED36B4" w:rsidRDefault="00D51839" w:rsidP="00D51839">
      <w:pPr>
        <w:numPr>
          <w:ilvl w:val="0"/>
          <w:numId w:val="152"/>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enters into voluntary or judicial liquidation; </w:t>
      </w:r>
    </w:p>
    <w:p w14:paraId="48469B76" w14:textId="77777777" w:rsidR="00D51839" w:rsidRDefault="00D51839" w:rsidP="00D51839">
      <w:pPr>
        <w:numPr>
          <w:ilvl w:val="0"/>
          <w:numId w:val="153"/>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business of Supplier ceases to exist or control or ownership is taken over by a third party; </w:t>
      </w:r>
    </w:p>
    <w:p w14:paraId="57C6E3EB" w14:textId="77777777" w:rsidR="00D51839" w:rsidRPr="009E12DE" w:rsidRDefault="00D51839" w:rsidP="00D51839">
      <w:pPr>
        <w:numPr>
          <w:ilvl w:val="0"/>
          <w:numId w:val="153"/>
        </w:numPr>
        <w:spacing w:after="0" w:line="240" w:lineRule="auto"/>
        <w:ind w:left="1290" w:firstLine="0"/>
        <w:jc w:val="both"/>
        <w:textAlignment w:val="baseline"/>
        <w:rPr>
          <w:rFonts w:eastAsia="Times New Roman" w:cs="Calibri Light"/>
          <w:color w:val="auto"/>
          <w:sz w:val="22"/>
          <w:lang w:eastAsia="en-GB"/>
        </w:rPr>
      </w:pPr>
      <w:r w:rsidRPr="009E12DE">
        <w:rPr>
          <w:rFonts w:eastAsia="Times New Roman" w:cs="Calibri Light"/>
          <w:color w:val="auto"/>
          <w:sz w:val="22"/>
          <w:lang w:eastAsia="en-GB"/>
        </w:rPr>
        <w:t>as a result of the termination of the European programme(s) which requested EIT UM to enter into this Agreement (as the case may be). </w:t>
      </w:r>
    </w:p>
    <w:p w14:paraId="04229759"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3E14F72A" w14:textId="77777777" w:rsidR="00D51839" w:rsidRPr="00ED36B4" w:rsidRDefault="00D51839" w:rsidP="00D51839">
      <w:pPr>
        <w:spacing w:after="0" w:line="240" w:lineRule="auto"/>
        <w:jc w:val="both"/>
        <w:textAlignment w:val="baseline"/>
        <w:rPr>
          <w:rFonts w:eastAsia="Times New Roman" w:cs="Calibri Light"/>
          <w:color w:val="auto"/>
          <w:sz w:val="22"/>
          <w:lang w:eastAsia="en-GB"/>
        </w:rPr>
      </w:pPr>
    </w:p>
    <w:p w14:paraId="455AEB30" w14:textId="5E9D3A1F" w:rsidR="00D51839" w:rsidRDefault="002C6403" w:rsidP="002C6403">
      <w:pPr>
        <w:spacing w:after="0" w:line="240" w:lineRule="auto"/>
        <w:ind w:left="720"/>
        <w:jc w:val="both"/>
        <w:textAlignment w:val="baseline"/>
        <w:rPr>
          <w:rFonts w:eastAsia="Times New Roman" w:cs="Calibri Light"/>
          <w:color w:val="auto"/>
          <w:sz w:val="22"/>
          <w:lang w:eastAsia="en-GB"/>
        </w:rPr>
      </w:pPr>
      <w:r>
        <w:rPr>
          <w:rFonts w:eastAsia="Times New Roman" w:cs="Calibri Light"/>
          <w:color w:val="auto"/>
          <w:sz w:val="22"/>
          <w:lang w:eastAsia="en-GB"/>
        </w:rPr>
        <w:t xml:space="preserve">4. </w:t>
      </w:r>
      <w:r>
        <w:rPr>
          <w:rFonts w:eastAsia="Times New Roman" w:cs="Calibri Light"/>
          <w:color w:val="auto"/>
          <w:sz w:val="22"/>
          <w:lang w:eastAsia="en-GB"/>
        </w:rPr>
        <w:tab/>
      </w:r>
      <w:r w:rsidR="00D51839" w:rsidRPr="00ED36B4">
        <w:rPr>
          <w:rFonts w:eastAsia="Times New Roman" w:cs="Calibri Light"/>
          <w:color w:val="auto"/>
          <w:sz w:val="22"/>
          <w:lang w:eastAsia="en-GB"/>
        </w:rPr>
        <w:t>As from receipt of a termination notice from EIT UM (under any legal ground), Supplier shall take immediate steps to bring the terminated Services to a closure in a prompt and orderly manner and to reduce expenditure to a minimum. </w:t>
      </w:r>
    </w:p>
    <w:p w14:paraId="4BFD5D9D" w14:textId="77777777" w:rsidR="00D51839" w:rsidRDefault="00D51839" w:rsidP="00D51839">
      <w:pPr>
        <w:spacing w:after="0" w:line="240" w:lineRule="auto"/>
        <w:ind w:left="720"/>
        <w:jc w:val="both"/>
        <w:textAlignment w:val="baseline"/>
        <w:rPr>
          <w:rFonts w:eastAsia="Times New Roman" w:cs="Calibri Light"/>
          <w:color w:val="auto"/>
          <w:sz w:val="22"/>
          <w:lang w:eastAsia="en-GB"/>
        </w:rPr>
      </w:pPr>
    </w:p>
    <w:p w14:paraId="51FD2D52" w14:textId="77777777" w:rsidR="00D51839" w:rsidRPr="009E12DE" w:rsidRDefault="00D51839" w:rsidP="00D51839">
      <w:pPr>
        <w:numPr>
          <w:ilvl w:val="0"/>
          <w:numId w:val="15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may, after giving fourteen (14) calendar days written notice to EIT UM, terminate the Agreement if EIT UM:  </w:t>
      </w:r>
    </w:p>
    <w:p w14:paraId="78C08218"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0C4BD4B9" w14:textId="77777777" w:rsidR="00D51839" w:rsidRDefault="00D51839" w:rsidP="00D51839">
      <w:pPr>
        <w:numPr>
          <w:ilvl w:val="0"/>
          <w:numId w:val="158"/>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Fails for more than one hundred twenty (120) calendar days to pay Supplier the amounts due after the expiration of the payment term stated in Article</w:t>
      </w:r>
      <w:r w:rsidRPr="00ED36B4">
        <w:rPr>
          <w:rFonts w:eastAsia="Times New Roman" w:cs="Calibri Light"/>
          <w:color w:val="000000"/>
          <w:sz w:val="22"/>
          <w:shd w:val="clear" w:color="auto" w:fill="E1E3E6"/>
          <w:lang w:eastAsia="en-GB"/>
        </w:rPr>
        <w:t xml:space="preserve"> 4:</w:t>
      </w:r>
      <w:r w:rsidRPr="00ED36B4">
        <w:rPr>
          <w:rFonts w:eastAsia="Times New Roman" w:cs="Calibri Light"/>
          <w:color w:val="auto"/>
          <w:sz w:val="22"/>
          <w:lang w:eastAsia="en-GB"/>
        </w:rPr>
        <w:t xml:space="preserve"> or </w:t>
      </w:r>
    </w:p>
    <w:p w14:paraId="542C7660"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48C6316B" w14:textId="77777777" w:rsidR="00D51839" w:rsidRDefault="00D51839" w:rsidP="00D51839">
      <w:pPr>
        <w:numPr>
          <w:ilvl w:val="0"/>
          <w:numId w:val="159"/>
        </w:numPr>
        <w:spacing w:after="0" w:line="240" w:lineRule="auto"/>
        <w:ind w:left="129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Consistently fails to meet its material obligations after repeated reminders; or </w:t>
      </w:r>
    </w:p>
    <w:p w14:paraId="7662A8F7"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41F8F66E" w14:textId="77777777" w:rsidR="00D51839" w:rsidRDefault="00D51839" w:rsidP="00D51839">
      <w:pPr>
        <w:spacing w:after="0" w:line="240" w:lineRule="auto"/>
        <w:ind w:left="2127" w:hanging="851"/>
        <w:jc w:val="both"/>
        <w:textAlignment w:val="baseline"/>
        <w:rPr>
          <w:rFonts w:eastAsia="Times New Roman" w:cs="Calibri Light"/>
          <w:color w:val="auto"/>
          <w:sz w:val="22"/>
          <w:lang w:eastAsia="en-GB"/>
        </w:rPr>
      </w:pPr>
      <w:r>
        <w:rPr>
          <w:rFonts w:eastAsia="Times New Roman" w:cs="Calibri Light"/>
          <w:color w:val="auto"/>
          <w:sz w:val="22"/>
          <w:lang w:eastAsia="en-GB"/>
        </w:rPr>
        <w:t xml:space="preserve">c. </w:t>
      </w:r>
      <w:r w:rsidRPr="00ED36B4">
        <w:rPr>
          <w:rFonts w:eastAsia="Times New Roman" w:cs="Calibri Light"/>
          <w:color w:val="auto"/>
          <w:sz w:val="22"/>
          <w:lang w:eastAsia="en-GB"/>
        </w:rPr>
        <w:t>Suspends the progress of the Services or any part thereof for more than ninety (90) calendar days for reasons not specified in the Agreement, or not attributable to Supplier’s breach or default. </w:t>
      </w:r>
    </w:p>
    <w:p w14:paraId="0712A69E" w14:textId="77777777" w:rsidR="00D51839" w:rsidRPr="00ED36B4" w:rsidRDefault="00D51839" w:rsidP="00D51839">
      <w:pPr>
        <w:spacing w:after="0" w:line="240" w:lineRule="auto"/>
        <w:ind w:left="1290"/>
        <w:jc w:val="both"/>
        <w:textAlignment w:val="baseline"/>
        <w:rPr>
          <w:rFonts w:eastAsia="Times New Roman" w:cs="Calibri Light"/>
          <w:color w:val="auto"/>
          <w:sz w:val="22"/>
          <w:lang w:eastAsia="en-GB"/>
        </w:rPr>
      </w:pPr>
    </w:p>
    <w:p w14:paraId="718EA7E7" w14:textId="77777777" w:rsidR="00D51839" w:rsidRDefault="00D51839" w:rsidP="00D51839">
      <w:pPr>
        <w:numPr>
          <w:ilvl w:val="0"/>
          <w:numId w:val="160"/>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Safeguarding of EU’s financial interest and conflict of interest </w:t>
      </w:r>
    </w:p>
    <w:p w14:paraId="08CC4514"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1F82C2FF" w14:textId="77777777" w:rsidR="00D51839" w:rsidRDefault="00D51839" w:rsidP="00D51839">
      <w:pPr>
        <w:numPr>
          <w:ilvl w:val="0"/>
          <w:numId w:val="161"/>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accepts without reservation that during the implementation of the Agreement and for four (4) years after the completion of the Agreement, EIT UM has the right to transfer the tender proposal and the Agreement with Supplier to: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internal audit services; (ii) the EIT; (iii) the European Court of Auditors; (iv) the Financial Irregularities Panel or; (v) the European Anti-Fraud Office, for the purposes of safeguarding the EU’s financial interests. </w:t>
      </w:r>
    </w:p>
    <w:p w14:paraId="767F62FC"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10056026" w14:textId="77777777" w:rsidR="00D51839" w:rsidRDefault="00D51839" w:rsidP="00D51839">
      <w:pPr>
        <w:numPr>
          <w:ilvl w:val="0"/>
          <w:numId w:val="162"/>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lastRenderedPageBreak/>
        <w:t>Supplier confirms that it shall take all measures to prevent any situation where the impartial and objective implementation of the Agreement is compromised for reasons involving economic interest, political or national affinity, family or emotional ties or any other shared interest (‘conflict of interests’). The Supplier is obliged to inform EIT UM immediately if there is any change in the above circumstances at any stage during the implementation of the tasks under the Agreement. </w:t>
      </w:r>
    </w:p>
    <w:p w14:paraId="39465C5C"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5B5204FF" w14:textId="77777777" w:rsidR="00D51839" w:rsidRDefault="00D51839" w:rsidP="00D51839">
      <w:pPr>
        <w:numPr>
          <w:ilvl w:val="0"/>
          <w:numId w:val="163"/>
        </w:numPr>
        <w:spacing w:after="0" w:line="240" w:lineRule="auto"/>
        <w:ind w:firstLine="0"/>
        <w:jc w:val="both"/>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Miscellaneous </w:t>
      </w:r>
    </w:p>
    <w:p w14:paraId="749680BA" w14:textId="77777777" w:rsidR="00D51839" w:rsidRPr="00ED36B4" w:rsidRDefault="00D51839" w:rsidP="00D51839">
      <w:pPr>
        <w:spacing w:after="0" w:line="240" w:lineRule="auto"/>
        <w:ind w:left="720"/>
        <w:jc w:val="both"/>
        <w:textAlignment w:val="baseline"/>
        <w:rPr>
          <w:rFonts w:eastAsia="Times New Roman" w:cs="Calibri Light"/>
          <w:b/>
          <w:bCs/>
          <w:color w:val="214EA2"/>
          <w:sz w:val="22"/>
          <w:lang w:eastAsia="en-GB"/>
        </w:rPr>
      </w:pPr>
    </w:p>
    <w:p w14:paraId="4CD55475" w14:textId="77777777" w:rsidR="00D51839" w:rsidRDefault="00D51839" w:rsidP="00D51839">
      <w:pPr>
        <w:numPr>
          <w:ilvl w:val="0"/>
          <w:numId w:val="164"/>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All notices given under this Agreement shall be given in writing. Any subsequent change of address shall be promptly notified by the Party concerned to the other Party and embodied in an amendment to the preamble of this Agreement. </w:t>
      </w:r>
    </w:p>
    <w:p w14:paraId="2F15F422"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784377D7" w14:textId="77777777" w:rsidR="00D51839" w:rsidRDefault="00D51839" w:rsidP="00D51839">
      <w:pPr>
        <w:numPr>
          <w:ilvl w:val="0"/>
          <w:numId w:val="16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In the event that Supplier is prevented from performing any of its obligations under the Agreement for reason of force majeure (being an event unforeseeable and beyond the control of Supplier) and Supplier has provided sufficient proof for the existence of the force majeure, the performance of the obligation concerned shall be suspended for the duration of the force majeure. EIT UM shall be entitled to immediately terminate the Agreement by written notice to Supplier if the context of the non- performance justifies immediate termination, and in any event if the circumstance constituting force majeure endures for more than thirty (30) days and, upon such notice, Supplier shall not be entitled to any form of compensation in relation to the termination. Force majeure on the part of Supplier shall in any event not include shortage of personnel or production materials or resources, strikes, not officially declared epidemic or pandemic, breach of contract by third parties contracted by Supplier, financial problems of Supplier, nor the inability of Supplier to secure the necessary licenses in respect of software to be supplied or the necessary legal or administrative permits or authorizations in relation to the Services to be supplied. </w:t>
      </w:r>
    </w:p>
    <w:p w14:paraId="4F597BD9"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6F120B4" w14:textId="77777777" w:rsidR="00D51839" w:rsidRDefault="00D51839" w:rsidP="00D51839">
      <w:pPr>
        <w:numPr>
          <w:ilvl w:val="0"/>
          <w:numId w:val="16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shall not transfer, pledge or assign any of its rights or obligations under the Agreement without the prior written consent of EIT UM. Any such pre-approved, transfer, pledge or assignment shall be null and void and have no effect vis-à-vis such third party. </w:t>
      </w:r>
    </w:p>
    <w:p w14:paraId="5B80704E"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69615526" w14:textId="77777777" w:rsidR="00D51839" w:rsidRDefault="00D51839" w:rsidP="00D51839">
      <w:pPr>
        <w:numPr>
          <w:ilvl w:val="0"/>
          <w:numId w:val="167"/>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rights and remedies reserved to EIT UM are cumulative and are in addition to any other or future rights and remedies available under the Agreement, at law or in equity. </w:t>
      </w:r>
    </w:p>
    <w:p w14:paraId="560C7376"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6B65BD8" w14:textId="77777777" w:rsidR="00D51839" w:rsidRDefault="00D51839" w:rsidP="00D51839">
      <w:pPr>
        <w:numPr>
          <w:ilvl w:val="0"/>
          <w:numId w:val="168"/>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Neither the failure nor the delay of EIT UM to enforce any provision of the Agreement shall constitute a waiver of such provision or of the right of EIT UM to enforce each and every provision of the Agreement. </w:t>
      </w:r>
    </w:p>
    <w:p w14:paraId="0CEE4F7A"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D6BC547" w14:textId="77777777" w:rsidR="00D51839" w:rsidRDefault="00D51839" w:rsidP="00D51839">
      <w:pPr>
        <w:numPr>
          <w:ilvl w:val="0"/>
          <w:numId w:val="169"/>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No course or prior dealings between the Parties, no course of performance, and no usage of the trade shall be relevant to determine the meaning of the Agreement and to modify the provisions of this Agreement. </w:t>
      </w:r>
    </w:p>
    <w:p w14:paraId="1A7BF2FC"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20257E3F" w14:textId="77777777" w:rsidR="00D51839" w:rsidRDefault="00D51839" w:rsidP="00D51839">
      <w:pPr>
        <w:numPr>
          <w:ilvl w:val="0"/>
          <w:numId w:val="170"/>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No waiver, consent, modification or amendment of the terms of the Agreement shall be binding unless made in a writing specifically referring to the Agreement signed by EIT UM and Supplier.</w:t>
      </w:r>
    </w:p>
    <w:p w14:paraId="5969026A"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lastRenderedPageBreak/>
        <w:t> </w:t>
      </w:r>
    </w:p>
    <w:p w14:paraId="2C8E79F2" w14:textId="77777777" w:rsidR="00D51839" w:rsidRDefault="00D51839" w:rsidP="00D51839">
      <w:pPr>
        <w:numPr>
          <w:ilvl w:val="0"/>
          <w:numId w:val="171"/>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In the event that any provision(s) of this Agreement shall be held invalid, unlawful or unenforceable by a court of competent jurisdiction or by any future legislative or administrative action, such holding or action shall not negate the validity or enforceability of any other provisions of the Agreement. Any such provision held invalid, unlawful or unenforceable, shall be substituted by a provision of similar import reflecting the original intent of the clause to the extent permissible under applicable law. </w:t>
      </w:r>
    </w:p>
    <w:p w14:paraId="70E8FFCB"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5AA0881" w14:textId="77777777" w:rsidR="00D51839" w:rsidRDefault="00D51839" w:rsidP="00D51839">
      <w:pPr>
        <w:numPr>
          <w:ilvl w:val="0"/>
          <w:numId w:val="172"/>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All terms and conditions of the Agreement which are destined, whether express or implied, to survive the termination or the expiration of the Agreement, including but not limited to Intellectual Property, Confidentiality and Personal Data, shall survive. </w:t>
      </w:r>
    </w:p>
    <w:p w14:paraId="57151D25"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600BFDF0" w14:textId="77777777" w:rsidR="00D51839" w:rsidRDefault="00D51839" w:rsidP="00D51839">
      <w:pPr>
        <w:numPr>
          <w:ilvl w:val="0"/>
          <w:numId w:val="173"/>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Agreement shall be governed by and construed in accordance with the laws of the country or state in which the EIT UM ordering entity is located, as applicable. </w:t>
      </w:r>
    </w:p>
    <w:p w14:paraId="4719D6CD"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45523E8E" w14:textId="77777777" w:rsidR="00D51839" w:rsidRDefault="00D51839" w:rsidP="00D51839">
      <w:pPr>
        <w:numPr>
          <w:ilvl w:val="0"/>
          <w:numId w:val="174"/>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Supplier and EIT UM each consents to the exclusive jurisdiction of the competent courts in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xml:space="preserve">) the city in which the EIT UM ordering entity is located; or (ii), at the option of EIT UM, the jurisdiction of the entity of Supplier to which the order was placed, or (iii), at the option of EIT UM, for arbitration in which case Article </w:t>
      </w:r>
      <w:r w:rsidRPr="00ED36B4">
        <w:rPr>
          <w:rFonts w:eastAsia="Times New Roman" w:cs="Calibri Light"/>
          <w:color w:val="000000"/>
          <w:sz w:val="22"/>
          <w:shd w:val="clear" w:color="auto" w:fill="E1E3E6"/>
          <w:lang w:eastAsia="en-GB"/>
        </w:rPr>
        <w:t>12.12</w:t>
      </w:r>
      <w:r w:rsidRPr="00ED36B4">
        <w:rPr>
          <w:rFonts w:eastAsia="Times New Roman" w:cs="Calibri Light"/>
          <w:color w:val="auto"/>
          <w:sz w:val="22"/>
          <w:lang w:eastAsia="en-GB"/>
        </w:rPr>
        <w:t xml:space="preserve"> applies. Supplier hereby waives all defences of lack of personal jurisdiction and forum non-convenience. </w:t>
      </w:r>
    </w:p>
    <w:p w14:paraId="7F369D62"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6D40A399" w14:textId="77777777" w:rsidR="00D51839" w:rsidRDefault="00D51839" w:rsidP="00D51839">
      <w:pPr>
        <w:numPr>
          <w:ilvl w:val="0"/>
          <w:numId w:val="17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If so chosen by EIT UM in accordance with Article </w:t>
      </w:r>
      <w:r w:rsidRPr="00ED36B4">
        <w:rPr>
          <w:rFonts w:eastAsia="Times New Roman" w:cs="Calibri Light"/>
          <w:color w:val="000000"/>
          <w:sz w:val="22"/>
          <w:shd w:val="clear" w:color="auto" w:fill="E1E3E6"/>
          <w:lang w:eastAsia="en-GB"/>
        </w:rPr>
        <w:t>12.11</w:t>
      </w:r>
      <w:r w:rsidRPr="00ED36B4">
        <w:rPr>
          <w:rFonts w:eastAsia="Times New Roman" w:cs="Calibri Light"/>
          <w:color w:val="auto"/>
          <w:sz w:val="22"/>
          <w:lang w:eastAsia="en-GB"/>
        </w:rPr>
        <w:t>, any dispute, controversy or claim arising out of or in connection with this Agreement, or their breach, termination or invalidity shall be finally settled solely under the International Chamber of Commerce Rules of arbitration (ICC), which Supplier and EIT UM declare to be known to them. Supplier and EIT UM agree that: (</w:t>
      </w:r>
      <w:proofErr w:type="spellStart"/>
      <w:r w:rsidRPr="00ED36B4">
        <w:rPr>
          <w:rFonts w:eastAsia="Times New Roman" w:cs="Calibri Light"/>
          <w:color w:val="auto"/>
          <w:sz w:val="22"/>
          <w:lang w:eastAsia="en-GB"/>
        </w:rPr>
        <w:t>i</w:t>
      </w:r>
      <w:proofErr w:type="spellEnd"/>
      <w:r w:rsidRPr="00ED36B4">
        <w:rPr>
          <w:rFonts w:eastAsia="Times New Roman" w:cs="Calibri Light"/>
          <w:color w:val="auto"/>
          <w:sz w:val="22"/>
          <w:lang w:eastAsia="en-GB"/>
        </w:rPr>
        <w:t xml:space="preserve">) the appointing authority shall be the ICC-International Chamber of Commerce of Paris, France; (ii) there shall be three (3) arbitrators; (iii) arbitration shall take place in the jurisdiction of the EIT UM entity mentioned in the recitals or, at the option of EIT UM, the jurisdiction of Supplier’s entity mentioned in the recitals; (iv) the language to be used in the arbitration proceedings shall be English; and (v) the material laws to be applied by the arbitrators shall be the laws as determined under Article </w:t>
      </w:r>
      <w:r w:rsidRPr="00ED36B4">
        <w:rPr>
          <w:rFonts w:eastAsia="Times New Roman" w:cs="Calibri Light"/>
          <w:color w:val="000000"/>
          <w:sz w:val="22"/>
          <w:shd w:val="clear" w:color="auto" w:fill="E1E3E6"/>
          <w:lang w:eastAsia="en-GB"/>
        </w:rPr>
        <w:t>12.10</w:t>
      </w:r>
      <w:r w:rsidRPr="00ED36B4">
        <w:rPr>
          <w:rFonts w:eastAsia="Times New Roman" w:cs="Calibri Light"/>
          <w:color w:val="auto"/>
          <w:sz w:val="22"/>
          <w:lang w:eastAsia="en-GB"/>
        </w:rPr>
        <w:t>. </w:t>
      </w:r>
    </w:p>
    <w:p w14:paraId="63D10D1B"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65F0ADA2" w14:textId="77777777" w:rsidR="00D51839" w:rsidRPr="00ED36B4" w:rsidRDefault="00D51839" w:rsidP="00D51839">
      <w:pPr>
        <w:numPr>
          <w:ilvl w:val="0"/>
          <w:numId w:val="176"/>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The United Nations Convention on International Sale of Goods shall not apply to the Agreement. </w:t>
      </w:r>
    </w:p>
    <w:p w14:paraId="5D41FE1C" w14:textId="77777777" w:rsidR="00D51839" w:rsidRPr="00ED36B4" w:rsidRDefault="00D51839" w:rsidP="00D51839">
      <w:pPr>
        <w:spacing w:after="0" w:line="240" w:lineRule="auto"/>
        <w:ind w:left="-150"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47BE6558" w14:textId="77777777" w:rsidR="00D51839" w:rsidRPr="00ED36B4" w:rsidRDefault="00D51839" w:rsidP="00D51839">
      <w:pPr>
        <w:spacing w:after="0" w:line="240" w:lineRule="auto"/>
        <w:ind w:right="-15"/>
        <w:jc w:val="center"/>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xml:space="preserve">Drawn up on </w:t>
      </w:r>
      <w:r w:rsidRPr="00ED36B4">
        <w:rPr>
          <w:rFonts w:eastAsia="Times New Roman" w:cs="Calibri Light"/>
          <w:color w:val="000000"/>
          <w:sz w:val="22"/>
          <w:lang w:val="hu-HU" w:eastAsia="en-GB"/>
        </w:rPr>
        <w:t>[DATE]</w:t>
      </w:r>
      <w:r w:rsidRPr="00ED36B4">
        <w:rPr>
          <w:rFonts w:eastAsia="Times New Roman" w:cs="Calibri Light"/>
          <w:color w:val="000000"/>
          <w:sz w:val="22"/>
          <w:lang w:eastAsia="en-GB"/>
        </w:rPr>
        <w:t> </w:t>
      </w:r>
    </w:p>
    <w:p w14:paraId="6E42AD65" w14:textId="77777777" w:rsidR="00D51839" w:rsidRPr="00ED36B4" w:rsidRDefault="00D51839" w:rsidP="00D51839">
      <w:pPr>
        <w:spacing w:after="0" w:line="240" w:lineRule="auto"/>
        <w:ind w:left="-150"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0F02E006" w14:textId="77777777" w:rsidR="00D51839" w:rsidRPr="00ED36B4" w:rsidRDefault="00D51839" w:rsidP="00D51839">
      <w:pPr>
        <w:spacing w:after="0" w:line="240" w:lineRule="auto"/>
        <w:ind w:left="-150"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7C59020B" w14:textId="77777777" w:rsidR="00D51839" w:rsidRPr="00ED36B4" w:rsidRDefault="00D51839" w:rsidP="00D51839">
      <w:pPr>
        <w:spacing w:after="0" w:line="240" w:lineRule="auto"/>
        <w:ind w:left="-150" w:right="-1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555"/>
        <w:gridCol w:w="4245"/>
      </w:tblGrid>
      <w:tr w:rsidR="00D51839" w:rsidRPr="00ED36B4" w14:paraId="7D58A5E8" w14:textId="77777777" w:rsidTr="00110955">
        <w:trPr>
          <w:trHeight w:val="300"/>
        </w:trPr>
        <w:tc>
          <w:tcPr>
            <w:tcW w:w="4245" w:type="dxa"/>
            <w:tcBorders>
              <w:top w:val="single" w:sz="6" w:space="0" w:color="auto"/>
              <w:left w:val="nil"/>
              <w:bottom w:val="nil"/>
              <w:right w:val="nil"/>
            </w:tcBorders>
            <w:shd w:val="clear" w:color="auto" w:fill="auto"/>
            <w:hideMark/>
          </w:tcPr>
          <w:p w14:paraId="7DB06537"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b/>
                <w:bCs/>
                <w:color w:val="auto"/>
                <w:sz w:val="22"/>
                <w:lang w:val="hu-HU" w:eastAsia="en-GB"/>
              </w:rPr>
              <w:t>EIT KIC URBAN MOBILITY, S.L.</w:t>
            </w:r>
            <w:r w:rsidRPr="00ED36B4">
              <w:rPr>
                <w:rFonts w:eastAsia="Times New Roman" w:cs="Calibri Light"/>
                <w:color w:val="auto"/>
                <w:sz w:val="22"/>
                <w:lang w:eastAsia="en-GB"/>
              </w:rPr>
              <w:t> </w:t>
            </w:r>
          </w:p>
        </w:tc>
        <w:tc>
          <w:tcPr>
            <w:tcW w:w="555" w:type="dxa"/>
            <w:tcBorders>
              <w:top w:val="nil"/>
              <w:left w:val="nil"/>
              <w:bottom w:val="nil"/>
              <w:right w:val="nil"/>
            </w:tcBorders>
            <w:shd w:val="clear" w:color="auto" w:fill="auto"/>
            <w:hideMark/>
          </w:tcPr>
          <w:p w14:paraId="7327EDAE" w14:textId="77777777" w:rsidR="00D51839" w:rsidRPr="00ED36B4" w:rsidRDefault="00D51839" w:rsidP="00110955">
            <w:pPr>
              <w:spacing w:after="0" w:line="240" w:lineRule="auto"/>
              <w:jc w:val="both"/>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 </w:t>
            </w:r>
          </w:p>
        </w:tc>
        <w:tc>
          <w:tcPr>
            <w:tcW w:w="4245" w:type="dxa"/>
            <w:tcBorders>
              <w:top w:val="single" w:sz="6" w:space="0" w:color="auto"/>
              <w:left w:val="nil"/>
              <w:bottom w:val="nil"/>
              <w:right w:val="nil"/>
            </w:tcBorders>
            <w:shd w:val="clear" w:color="auto" w:fill="auto"/>
            <w:hideMark/>
          </w:tcPr>
          <w:p w14:paraId="5DD63268"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shd w:val="clear" w:color="auto" w:fill="FFFF00"/>
                <w:lang w:val="hu-HU" w:eastAsia="en-GB"/>
              </w:rPr>
              <w:t>[company name]</w:t>
            </w:r>
            <w:r w:rsidRPr="00ED36B4">
              <w:rPr>
                <w:rFonts w:eastAsia="Times New Roman" w:cs="Calibri Light"/>
                <w:color w:val="auto"/>
                <w:sz w:val="22"/>
                <w:lang w:val="hu-HU" w:eastAsia="en-GB"/>
              </w:rPr>
              <w:t> </w:t>
            </w:r>
            <w:r w:rsidRPr="00ED36B4">
              <w:rPr>
                <w:rFonts w:eastAsia="Times New Roman" w:cs="Calibri Light"/>
                <w:color w:val="auto"/>
                <w:sz w:val="22"/>
                <w:lang w:eastAsia="en-GB"/>
              </w:rPr>
              <w:t> </w:t>
            </w:r>
          </w:p>
        </w:tc>
      </w:tr>
      <w:tr w:rsidR="00D51839" w:rsidRPr="00ED36B4" w14:paraId="226F7ECE" w14:textId="77777777" w:rsidTr="00110955">
        <w:trPr>
          <w:trHeight w:val="300"/>
        </w:trPr>
        <w:tc>
          <w:tcPr>
            <w:tcW w:w="4245" w:type="dxa"/>
            <w:tcBorders>
              <w:top w:val="nil"/>
              <w:left w:val="nil"/>
              <w:bottom w:val="nil"/>
              <w:right w:val="nil"/>
            </w:tcBorders>
            <w:shd w:val="clear" w:color="auto" w:fill="auto"/>
            <w:hideMark/>
          </w:tcPr>
          <w:p w14:paraId="4CE1A539"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Cs w:val="20"/>
                <w:lang w:val="hu-HU" w:eastAsia="en-GB"/>
              </w:rPr>
              <w:t>Francisco Ibáñez</w:t>
            </w:r>
            <w:r w:rsidRPr="00ED36B4">
              <w:rPr>
                <w:rFonts w:eastAsia="Times New Roman" w:cs="Calibri Light"/>
                <w:color w:val="auto"/>
                <w:szCs w:val="20"/>
                <w:lang w:eastAsia="en-GB"/>
              </w:rPr>
              <w:t> </w:t>
            </w:r>
          </w:p>
        </w:tc>
        <w:tc>
          <w:tcPr>
            <w:tcW w:w="555" w:type="dxa"/>
            <w:tcBorders>
              <w:top w:val="nil"/>
              <w:left w:val="nil"/>
              <w:bottom w:val="nil"/>
              <w:right w:val="nil"/>
            </w:tcBorders>
            <w:shd w:val="clear" w:color="auto" w:fill="auto"/>
            <w:hideMark/>
          </w:tcPr>
          <w:p w14:paraId="078C63F0" w14:textId="77777777" w:rsidR="00D51839" w:rsidRPr="00ED36B4" w:rsidRDefault="00D51839" w:rsidP="00110955">
            <w:pPr>
              <w:spacing w:after="0" w:line="240" w:lineRule="auto"/>
              <w:jc w:val="both"/>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 </w:t>
            </w:r>
          </w:p>
        </w:tc>
        <w:tc>
          <w:tcPr>
            <w:tcW w:w="4245" w:type="dxa"/>
            <w:tcBorders>
              <w:top w:val="nil"/>
              <w:left w:val="nil"/>
              <w:bottom w:val="nil"/>
              <w:right w:val="nil"/>
            </w:tcBorders>
            <w:shd w:val="clear" w:color="auto" w:fill="auto"/>
            <w:hideMark/>
          </w:tcPr>
          <w:p w14:paraId="2FE294B4"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shd w:val="clear" w:color="auto" w:fill="FFFF00"/>
                <w:lang w:val="hu-HU" w:eastAsia="en-GB"/>
              </w:rPr>
              <w:t>[name of representative]</w:t>
            </w:r>
            <w:r w:rsidRPr="00ED36B4">
              <w:rPr>
                <w:rFonts w:eastAsia="Times New Roman" w:cs="Calibri Light"/>
                <w:color w:val="auto"/>
                <w:sz w:val="22"/>
                <w:lang w:val="hu-HU" w:eastAsia="en-GB"/>
              </w:rPr>
              <w:t> </w:t>
            </w:r>
            <w:r w:rsidRPr="00ED36B4">
              <w:rPr>
                <w:rFonts w:eastAsia="Times New Roman" w:cs="Calibri Light"/>
                <w:color w:val="auto"/>
                <w:sz w:val="22"/>
                <w:lang w:eastAsia="en-GB"/>
              </w:rPr>
              <w:t> </w:t>
            </w:r>
          </w:p>
        </w:tc>
      </w:tr>
      <w:tr w:rsidR="00D51839" w:rsidRPr="00ED36B4" w14:paraId="3F554093" w14:textId="77777777" w:rsidTr="00110955">
        <w:trPr>
          <w:trHeight w:val="300"/>
        </w:trPr>
        <w:tc>
          <w:tcPr>
            <w:tcW w:w="4245" w:type="dxa"/>
            <w:tcBorders>
              <w:top w:val="nil"/>
              <w:left w:val="nil"/>
              <w:bottom w:val="nil"/>
              <w:right w:val="nil"/>
            </w:tcBorders>
            <w:shd w:val="clear" w:color="auto" w:fill="auto"/>
            <w:hideMark/>
          </w:tcPr>
          <w:p w14:paraId="2A606E44"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val="hu-HU" w:eastAsia="en-GB"/>
              </w:rPr>
              <w:t>CFO</w:t>
            </w:r>
            <w:r w:rsidRPr="00ED36B4">
              <w:rPr>
                <w:rFonts w:eastAsia="Times New Roman" w:cs="Calibri Light"/>
                <w:color w:val="auto"/>
                <w:sz w:val="22"/>
                <w:lang w:eastAsia="en-GB"/>
              </w:rPr>
              <w:t> </w:t>
            </w:r>
          </w:p>
        </w:tc>
        <w:tc>
          <w:tcPr>
            <w:tcW w:w="555" w:type="dxa"/>
            <w:tcBorders>
              <w:top w:val="nil"/>
              <w:left w:val="nil"/>
              <w:bottom w:val="nil"/>
              <w:right w:val="nil"/>
            </w:tcBorders>
            <w:shd w:val="clear" w:color="auto" w:fill="auto"/>
            <w:hideMark/>
          </w:tcPr>
          <w:p w14:paraId="507300D7" w14:textId="77777777" w:rsidR="00D51839" w:rsidRPr="00ED36B4" w:rsidRDefault="00D51839" w:rsidP="00110955">
            <w:pPr>
              <w:spacing w:after="0" w:line="240" w:lineRule="auto"/>
              <w:jc w:val="both"/>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 </w:t>
            </w:r>
          </w:p>
        </w:tc>
        <w:tc>
          <w:tcPr>
            <w:tcW w:w="4245" w:type="dxa"/>
            <w:tcBorders>
              <w:top w:val="nil"/>
              <w:left w:val="nil"/>
              <w:bottom w:val="nil"/>
              <w:right w:val="nil"/>
            </w:tcBorders>
            <w:shd w:val="clear" w:color="auto" w:fill="auto"/>
            <w:hideMark/>
          </w:tcPr>
          <w:p w14:paraId="66F425A6"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shd w:val="clear" w:color="auto" w:fill="FFFF00"/>
                <w:lang w:val="hu-HU" w:eastAsia="en-GB"/>
              </w:rPr>
              <w:t>[position of representative]</w:t>
            </w:r>
            <w:r w:rsidRPr="00ED36B4">
              <w:rPr>
                <w:rFonts w:eastAsia="Times New Roman" w:cs="Calibri Light"/>
                <w:color w:val="auto"/>
                <w:sz w:val="22"/>
                <w:lang w:val="hu-HU" w:eastAsia="en-GB"/>
              </w:rPr>
              <w:t> </w:t>
            </w:r>
            <w:r w:rsidRPr="00ED36B4">
              <w:rPr>
                <w:rFonts w:eastAsia="Times New Roman" w:cs="Calibri Light"/>
                <w:color w:val="auto"/>
                <w:sz w:val="22"/>
                <w:lang w:eastAsia="en-GB"/>
              </w:rPr>
              <w:t> </w:t>
            </w:r>
          </w:p>
        </w:tc>
      </w:tr>
      <w:tr w:rsidR="00D51839" w:rsidRPr="00ED36B4" w14:paraId="7009066F" w14:textId="77777777" w:rsidTr="00110955">
        <w:trPr>
          <w:trHeight w:val="300"/>
        </w:trPr>
        <w:tc>
          <w:tcPr>
            <w:tcW w:w="4245" w:type="dxa"/>
            <w:tcBorders>
              <w:top w:val="nil"/>
              <w:left w:val="nil"/>
              <w:bottom w:val="nil"/>
              <w:right w:val="nil"/>
            </w:tcBorders>
            <w:shd w:val="clear" w:color="auto" w:fill="auto"/>
            <w:hideMark/>
          </w:tcPr>
          <w:p w14:paraId="449B1720"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 </w:t>
            </w:r>
          </w:p>
        </w:tc>
        <w:tc>
          <w:tcPr>
            <w:tcW w:w="555" w:type="dxa"/>
            <w:tcBorders>
              <w:top w:val="nil"/>
              <w:left w:val="nil"/>
              <w:bottom w:val="nil"/>
              <w:right w:val="nil"/>
            </w:tcBorders>
            <w:shd w:val="clear" w:color="auto" w:fill="auto"/>
            <w:hideMark/>
          </w:tcPr>
          <w:p w14:paraId="0CD30AA8" w14:textId="77777777" w:rsidR="00D51839" w:rsidRPr="00ED36B4" w:rsidRDefault="00D51839" w:rsidP="00110955">
            <w:pPr>
              <w:spacing w:after="0" w:line="240" w:lineRule="auto"/>
              <w:jc w:val="both"/>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 </w:t>
            </w:r>
          </w:p>
        </w:tc>
        <w:tc>
          <w:tcPr>
            <w:tcW w:w="4245" w:type="dxa"/>
            <w:tcBorders>
              <w:top w:val="nil"/>
              <w:left w:val="nil"/>
              <w:bottom w:val="nil"/>
              <w:right w:val="nil"/>
            </w:tcBorders>
            <w:shd w:val="clear" w:color="auto" w:fill="auto"/>
            <w:hideMark/>
          </w:tcPr>
          <w:p w14:paraId="174C9551" w14:textId="77777777" w:rsidR="00D51839" w:rsidRPr="00ED36B4" w:rsidRDefault="00D51839" w:rsidP="00110955">
            <w:pPr>
              <w:spacing w:after="0" w:line="240" w:lineRule="auto"/>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 </w:t>
            </w:r>
          </w:p>
        </w:tc>
      </w:tr>
    </w:tbl>
    <w:p w14:paraId="2548D181" w14:textId="77777777" w:rsidR="00D51839" w:rsidRDefault="00D51839" w:rsidP="00D51839">
      <w:pPr>
        <w:spacing w:after="0" w:line="240" w:lineRule="auto"/>
        <w:textAlignment w:val="baseline"/>
        <w:rPr>
          <w:rFonts w:eastAsia="Times New Roman" w:cs="Calibri Light"/>
          <w:color w:val="214EA2"/>
          <w:sz w:val="22"/>
          <w:lang w:eastAsia="en-GB"/>
        </w:rPr>
      </w:pPr>
      <w:r w:rsidRPr="00ED36B4">
        <w:rPr>
          <w:rFonts w:eastAsia="Times New Roman" w:cs="Calibri Light"/>
          <w:color w:val="214EA2"/>
          <w:sz w:val="22"/>
          <w:lang w:eastAsia="en-GB"/>
        </w:rPr>
        <w:t> </w:t>
      </w:r>
    </w:p>
    <w:p w14:paraId="7599FB08" w14:textId="77777777" w:rsidR="00D51839" w:rsidRDefault="00D51839" w:rsidP="00D51839">
      <w:pPr>
        <w:spacing w:after="0" w:line="240" w:lineRule="auto"/>
        <w:textAlignment w:val="baseline"/>
        <w:rPr>
          <w:rFonts w:eastAsia="Times New Roman" w:cs="Calibri Light"/>
          <w:color w:val="214EA2"/>
          <w:sz w:val="22"/>
          <w:lang w:eastAsia="en-GB"/>
        </w:rPr>
      </w:pPr>
    </w:p>
    <w:p w14:paraId="51A7D906" w14:textId="77777777" w:rsidR="00D51839" w:rsidRDefault="00D51839" w:rsidP="00D51839">
      <w:pPr>
        <w:spacing w:after="0" w:line="240" w:lineRule="auto"/>
        <w:textAlignment w:val="baseline"/>
        <w:rPr>
          <w:rFonts w:eastAsia="Times New Roman" w:cs="Calibri Light"/>
          <w:color w:val="214EA2"/>
          <w:sz w:val="22"/>
          <w:lang w:eastAsia="en-GB"/>
        </w:rPr>
      </w:pPr>
    </w:p>
    <w:p w14:paraId="67685F8C" w14:textId="77777777" w:rsidR="00D51839" w:rsidRPr="00ED36B4" w:rsidRDefault="00D51839" w:rsidP="00D51839">
      <w:pPr>
        <w:spacing w:after="0" w:line="240" w:lineRule="auto"/>
        <w:textAlignment w:val="baseline"/>
        <w:rPr>
          <w:rFonts w:ascii="Segoe UI" w:eastAsia="Times New Roman" w:hAnsi="Segoe UI" w:cs="Segoe UI"/>
          <w:color w:val="auto"/>
          <w:sz w:val="18"/>
          <w:szCs w:val="18"/>
          <w:lang w:eastAsia="en-GB"/>
        </w:rPr>
      </w:pPr>
    </w:p>
    <w:p w14:paraId="2A2677D8" w14:textId="20CBF5D0" w:rsidR="00D51839" w:rsidRDefault="00D51839" w:rsidP="00D51839">
      <w:pPr>
        <w:spacing w:after="0" w:line="240" w:lineRule="auto"/>
        <w:jc w:val="center"/>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t>Annex 1 to the Services Agreement </w:t>
      </w:r>
      <w:r w:rsidR="002C6403">
        <w:rPr>
          <w:rFonts w:eastAsia="Times New Roman" w:cs="Calibri Light"/>
          <w:b/>
          <w:bCs/>
          <w:color w:val="214EA2"/>
          <w:sz w:val="22"/>
          <w:lang w:eastAsia="en-GB"/>
        </w:rPr>
        <w:t>for 2026-2027</w:t>
      </w:r>
    </w:p>
    <w:p w14:paraId="20D06838" w14:textId="77777777" w:rsidR="00D51839" w:rsidRPr="00ED36B4" w:rsidRDefault="00D51839" w:rsidP="00D51839">
      <w:pPr>
        <w:spacing w:after="0" w:line="240" w:lineRule="auto"/>
        <w:jc w:val="center"/>
        <w:textAlignment w:val="baseline"/>
        <w:rPr>
          <w:rFonts w:ascii="Segoe UI" w:eastAsia="Times New Roman" w:hAnsi="Segoe UI" w:cs="Segoe UI"/>
          <w:b/>
          <w:bCs/>
          <w:color w:val="214EA2"/>
          <w:sz w:val="18"/>
          <w:szCs w:val="18"/>
          <w:lang w:eastAsia="en-GB"/>
        </w:rPr>
      </w:pPr>
    </w:p>
    <w:p w14:paraId="763B0282" w14:textId="77777777" w:rsidR="00D51839" w:rsidRDefault="00D51839" w:rsidP="00D51839">
      <w:pPr>
        <w:spacing w:after="0" w:line="240" w:lineRule="auto"/>
        <w:ind w:right="-15"/>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In addition to the general terms and conditions specified in the body of the Service Agreement, the Parties hereby agree on the following specific conditions and details: </w:t>
      </w:r>
    </w:p>
    <w:p w14:paraId="50DC3115" w14:textId="77777777" w:rsidR="00D51839" w:rsidRPr="00ED36B4" w:rsidRDefault="00D51839" w:rsidP="00D51839">
      <w:pPr>
        <w:spacing w:after="0" w:line="240" w:lineRule="auto"/>
        <w:ind w:right="-15"/>
        <w:jc w:val="both"/>
        <w:textAlignment w:val="baseline"/>
        <w:rPr>
          <w:rFonts w:ascii="Segoe UI" w:eastAsia="Times New Roman" w:hAnsi="Segoe UI" w:cs="Segoe UI"/>
          <w:color w:val="auto"/>
          <w:sz w:val="18"/>
          <w:szCs w:val="18"/>
          <w:lang w:eastAsia="en-GB"/>
        </w:rPr>
      </w:pPr>
    </w:p>
    <w:p w14:paraId="2A53D636" w14:textId="77777777" w:rsidR="00D51839" w:rsidRPr="00ED36B4" w:rsidRDefault="00D51839" w:rsidP="00D51839">
      <w:pPr>
        <w:numPr>
          <w:ilvl w:val="0"/>
          <w:numId w:val="177"/>
        </w:numPr>
        <w:spacing w:after="0" w:line="240" w:lineRule="auto"/>
        <w:ind w:left="78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Description and timing of the Services subject to the procurement procedure (as per Article </w:t>
      </w:r>
      <w:r w:rsidRPr="00ED36B4">
        <w:rPr>
          <w:rFonts w:eastAsia="Times New Roman" w:cs="Calibri Light"/>
          <w:color w:val="000000"/>
          <w:sz w:val="22"/>
          <w:shd w:val="clear" w:color="auto" w:fill="E1E3E6"/>
          <w:lang w:eastAsia="en-GB"/>
        </w:rPr>
        <w:t>3.1</w:t>
      </w:r>
      <w:r w:rsidRPr="00ED36B4">
        <w:rPr>
          <w:rFonts w:eastAsia="Times New Roman" w:cs="Calibri Light"/>
          <w:color w:val="auto"/>
          <w:sz w:val="22"/>
          <w:lang w:eastAsia="en-GB"/>
        </w:rPr>
        <w:t xml:space="preserve"> of the Agreement) and detailed description of the types of Services and Deliverables (as per Article </w:t>
      </w:r>
      <w:r w:rsidRPr="00ED36B4">
        <w:rPr>
          <w:rFonts w:eastAsia="Times New Roman" w:cs="Calibri Light"/>
          <w:color w:val="000000"/>
          <w:sz w:val="22"/>
          <w:shd w:val="clear" w:color="auto" w:fill="E1E3E6"/>
          <w:lang w:eastAsia="en-GB"/>
        </w:rPr>
        <w:t>6.2</w:t>
      </w:r>
      <w:r w:rsidRPr="00ED36B4">
        <w:rPr>
          <w:rFonts w:eastAsia="Times New Roman" w:cs="Calibri Light"/>
          <w:color w:val="auto"/>
          <w:sz w:val="22"/>
          <w:lang w:eastAsia="en-GB"/>
        </w:rPr>
        <w:t xml:space="preserve"> of the Agreement) covered by the Agreement: </w:t>
      </w:r>
    </w:p>
    <w:p w14:paraId="6D4D9873" w14:textId="77777777" w:rsidR="00D51839" w:rsidRPr="00ED36B4" w:rsidRDefault="00D51839" w:rsidP="00D51839">
      <w:pPr>
        <w:numPr>
          <w:ilvl w:val="0"/>
          <w:numId w:val="178"/>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Task 1 </w:t>
      </w:r>
    </w:p>
    <w:p w14:paraId="54DE74E1" w14:textId="77777777" w:rsidR="00D51839" w:rsidRDefault="00D51839" w:rsidP="00D51839">
      <w:pPr>
        <w:numPr>
          <w:ilvl w:val="0"/>
          <w:numId w:val="179"/>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Task 2 </w:t>
      </w:r>
    </w:p>
    <w:p w14:paraId="7536B460" w14:textId="77777777" w:rsidR="00D51839" w:rsidRPr="00ED36B4" w:rsidRDefault="00D51839" w:rsidP="00D51839">
      <w:pPr>
        <w:spacing w:after="0" w:line="240" w:lineRule="auto"/>
        <w:ind w:left="1080"/>
        <w:jc w:val="both"/>
        <w:textAlignment w:val="baseline"/>
        <w:rPr>
          <w:rFonts w:eastAsia="Times New Roman" w:cs="Calibri Light"/>
          <w:color w:val="auto"/>
          <w:sz w:val="22"/>
          <w:lang w:eastAsia="en-GB"/>
        </w:rPr>
      </w:pPr>
    </w:p>
    <w:p w14:paraId="4EB2C282" w14:textId="77777777" w:rsidR="00D51839" w:rsidRPr="00ED36B4" w:rsidRDefault="00D51839" w:rsidP="00D51839">
      <w:pPr>
        <w:numPr>
          <w:ilvl w:val="0"/>
          <w:numId w:val="180"/>
        </w:numPr>
        <w:spacing w:after="0" w:line="240" w:lineRule="auto"/>
        <w:ind w:left="78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Price of the Services (as per </w:t>
      </w:r>
      <w:r w:rsidRPr="00ED36B4">
        <w:rPr>
          <w:rFonts w:eastAsia="Times New Roman" w:cs="Calibri Light"/>
          <w:color w:val="000000"/>
          <w:sz w:val="22"/>
          <w:shd w:val="clear" w:color="auto" w:fill="E1E3E6"/>
          <w:lang w:eastAsia="en-GB"/>
        </w:rPr>
        <w:t>Article 4:</w:t>
      </w:r>
      <w:r w:rsidRPr="00ED36B4">
        <w:rPr>
          <w:rFonts w:eastAsia="Times New Roman" w:cs="Calibri Light"/>
          <w:color w:val="auto"/>
          <w:sz w:val="22"/>
          <w:lang w:eastAsia="en-GB"/>
        </w:rPr>
        <w:t xml:space="preserve"> of the Agreement):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0"/>
        <w:gridCol w:w="5085"/>
      </w:tblGrid>
      <w:tr w:rsidR="00D51839" w:rsidRPr="00ED36B4" w14:paraId="240C7668" w14:textId="77777777" w:rsidTr="00110955">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9CC2E5"/>
            <w:vAlign w:val="center"/>
            <w:hideMark/>
          </w:tcPr>
          <w:p w14:paraId="3ADCC3FA" w14:textId="77777777" w:rsidR="00D51839" w:rsidRPr="00ED36B4" w:rsidRDefault="00D51839" w:rsidP="00110955">
            <w:pPr>
              <w:spacing w:after="0" w:line="240" w:lineRule="auto"/>
              <w:ind w:right="-15"/>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b/>
                <w:bCs/>
                <w:color w:val="auto"/>
                <w:sz w:val="22"/>
                <w:lang w:val="hu-HU" w:eastAsia="en-GB"/>
              </w:rPr>
              <w:t>Services</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c>
          <w:tcPr>
            <w:tcW w:w="5085" w:type="dxa"/>
            <w:tcBorders>
              <w:top w:val="single" w:sz="6" w:space="0" w:color="auto"/>
              <w:left w:val="single" w:sz="6" w:space="0" w:color="auto"/>
              <w:bottom w:val="single" w:sz="6" w:space="0" w:color="auto"/>
              <w:right w:val="single" w:sz="6" w:space="0" w:color="auto"/>
            </w:tcBorders>
            <w:shd w:val="clear" w:color="auto" w:fill="9CC2E5"/>
            <w:vAlign w:val="center"/>
            <w:hideMark/>
          </w:tcPr>
          <w:p w14:paraId="425723FD" w14:textId="77777777" w:rsidR="00D51839" w:rsidRPr="00ED36B4" w:rsidRDefault="00D51839" w:rsidP="00110955">
            <w:pPr>
              <w:spacing w:after="0" w:line="240" w:lineRule="auto"/>
              <w:ind w:right="-15"/>
              <w:jc w:val="center"/>
              <w:textAlignment w:val="baseline"/>
              <w:rPr>
                <w:rFonts w:ascii="Times New Roman" w:eastAsia="Times New Roman" w:hAnsi="Times New Roman" w:cs="Times New Roman"/>
                <w:color w:val="auto"/>
                <w:sz w:val="24"/>
                <w:szCs w:val="24"/>
                <w:lang w:eastAsia="en-GB"/>
              </w:rPr>
            </w:pPr>
            <w:r w:rsidRPr="00ED36B4">
              <w:rPr>
                <w:rFonts w:eastAsia="Times New Roman" w:cs="Calibri Light"/>
                <w:b/>
                <w:bCs/>
                <w:color w:val="auto"/>
                <w:sz w:val="22"/>
                <w:lang w:val="hu-HU" w:eastAsia="en-GB"/>
              </w:rPr>
              <w:t>Price</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r>
      <w:tr w:rsidR="00D51839" w:rsidRPr="00ED36B4" w14:paraId="37477597" w14:textId="77777777" w:rsidTr="00110955">
        <w:trPr>
          <w:trHeight w:val="300"/>
        </w:trPr>
        <w:tc>
          <w:tcPr>
            <w:tcW w:w="360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D2730ED" w14:textId="77777777" w:rsidR="00D51839" w:rsidRPr="00ED36B4" w:rsidRDefault="00D51839" w:rsidP="00110955">
            <w:pPr>
              <w:spacing w:after="0" w:line="240" w:lineRule="auto"/>
              <w:ind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val="hu-HU" w:eastAsia="en-GB"/>
              </w:rPr>
              <w:t>[Subject of the services]</w:t>
            </w:r>
            <w:r w:rsidRPr="00ED36B4">
              <w:rPr>
                <w:rFonts w:eastAsia="Times New Roman" w:cs="Calibri Light"/>
                <w:color w:val="auto"/>
                <w:sz w:val="22"/>
                <w:lang w:eastAsia="en-GB"/>
              </w:rPr>
              <w:t>  </w:t>
            </w:r>
          </w:p>
        </w:tc>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8CAFF7" w14:textId="77777777" w:rsidR="00D51839" w:rsidRPr="00ED36B4" w:rsidRDefault="00D51839" w:rsidP="00110955">
            <w:pPr>
              <w:spacing w:after="0" w:line="240" w:lineRule="auto"/>
              <w:ind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val="hu-HU" w:eastAsia="en-GB"/>
              </w:rPr>
              <w:t>[(Unit) price of the services]</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tc>
      </w:tr>
    </w:tbl>
    <w:p w14:paraId="4B76FA0C"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ascii="Arial" w:eastAsia="Times New Roman" w:hAnsi="Arial" w:cs="Arial"/>
          <w:color w:val="auto"/>
          <w:sz w:val="22"/>
          <w:lang w:eastAsia="en-GB"/>
        </w:rPr>
        <w:t> </w:t>
      </w:r>
    </w:p>
    <w:p w14:paraId="2E63702F" w14:textId="77777777" w:rsidR="00D51839" w:rsidRPr="00ED36B4" w:rsidRDefault="00D51839" w:rsidP="00D51839">
      <w:pPr>
        <w:numPr>
          <w:ilvl w:val="0"/>
          <w:numId w:val="181"/>
        </w:numPr>
        <w:spacing w:after="0" w:line="240" w:lineRule="auto"/>
        <w:ind w:left="78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Charging the compensation to EIT UM (as per </w:t>
      </w:r>
      <w:r w:rsidRPr="00ED36B4">
        <w:rPr>
          <w:rFonts w:eastAsia="Times New Roman" w:cs="Calibri Light"/>
          <w:color w:val="000000"/>
          <w:sz w:val="22"/>
          <w:shd w:val="clear" w:color="auto" w:fill="E1E3E6"/>
          <w:lang w:eastAsia="en-GB"/>
        </w:rPr>
        <w:t>Article 4</w:t>
      </w:r>
      <w:r w:rsidRPr="00ED36B4">
        <w:rPr>
          <w:rFonts w:eastAsia="Times New Roman" w:cs="Calibri Light"/>
          <w:color w:val="auto"/>
          <w:sz w:val="22"/>
          <w:lang w:eastAsia="en-GB"/>
        </w:rPr>
        <w:t xml:space="preserve"> of the Agreement)</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p w14:paraId="37D37C0A" w14:textId="77777777" w:rsidR="00D51839" w:rsidRPr="00ED36B4" w:rsidRDefault="00D51839" w:rsidP="00D51839">
      <w:pPr>
        <w:spacing w:after="0" w:line="240" w:lineRule="auto"/>
        <w:ind w:left="34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Supplier may charge the amounts of the Agreement at the end of the following period:</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p w14:paraId="474A519E" w14:textId="77777777" w:rsidR="00D51839" w:rsidRPr="00ED36B4" w:rsidRDefault="00D51839" w:rsidP="00D51839">
      <w:pPr>
        <w:spacing w:after="0" w:line="240" w:lineRule="auto"/>
        <w:ind w:left="34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5"/>
        <w:gridCol w:w="4950"/>
      </w:tblGrid>
      <w:tr w:rsidR="00D51839" w:rsidRPr="00ED36B4" w14:paraId="3EA3B93B" w14:textId="77777777" w:rsidTr="0011095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929E6E7"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Payment 1 – [description]</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8BF0DB"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[date]</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r>
      <w:tr w:rsidR="00D51839" w:rsidRPr="00ED36B4" w14:paraId="4FEB5821" w14:textId="77777777" w:rsidTr="0011095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2A05E4B3"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Payment 2 - [description]</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237FD1"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[date]</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r>
      <w:tr w:rsidR="00D51839" w:rsidRPr="00ED36B4" w14:paraId="731E0EC5" w14:textId="77777777" w:rsidTr="0011095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12A0D6B6"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Payment 3 - [description]</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59CD19"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[date]</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r>
    </w:tbl>
    <w:p w14:paraId="6329A1D6" w14:textId="77777777" w:rsidR="00D51839" w:rsidRDefault="00D51839" w:rsidP="00D51839">
      <w:pPr>
        <w:spacing w:after="0" w:line="240" w:lineRule="auto"/>
        <w:ind w:left="780"/>
        <w:jc w:val="both"/>
        <w:textAlignment w:val="baseline"/>
        <w:rPr>
          <w:rFonts w:eastAsia="Times New Roman" w:cs="Calibri Light"/>
          <w:color w:val="auto"/>
          <w:sz w:val="22"/>
          <w:lang w:eastAsia="en-GB"/>
        </w:rPr>
      </w:pPr>
    </w:p>
    <w:p w14:paraId="4F327BC3" w14:textId="77777777" w:rsidR="00D51839" w:rsidRPr="00ED36B4" w:rsidRDefault="00D51839" w:rsidP="00D51839">
      <w:pPr>
        <w:numPr>
          <w:ilvl w:val="0"/>
          <w:numId w:val="182"/>
        </w:numPr>
        <w:spacing w:after="0" w:line="240" w:lineRule="auto"/>
        <w:ind w:left="78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Payment term applying to Supplier invoices (as per </w:t>
      </w:r>
      <w:r w:rsidRPr="00ED36B4">
        <w:rPr>
          <w:rFonts w:eastAsia="Times New Roman" w:cs="Calibri Light"/>
          <w:color w:val="000000"/>
          <w:sz w:val="22"/>
          <w:shd w:val="clear" w:color="auto" w:fill="E1E3E6"/>
          <w:lang w:eastAsia="en-GB"/>
        </w:rPr>
        <w:t>Article 4</w:t>
      </w:r>
      <w:r w:rsidRPr="00ED36B4">
        <w:rPr>
          <w:rFonts w:eastAsia="Times New Roman" w:cs="Calibri Light"/>
          <w:color w:val="auto"/>
          <w:sz w:val="22"/>
          <w:lang w:eastAsia="en-GB"/>
        </w:rPr>
        <w:t xml:space="preserve"> of the Agreement):</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365"/>
      </w:tblGrid>
      <w:tr w:rsidR="00D51839" w:rsidRPr="00ED36B4" w14:paraId="3EFCE26B" w14:textId="77777777" w:rsidTr="00110955">
        <w:trPr>
          <w:trHeight w:val="300"/>
        </w:trPr>
        <w:tc>
          <w:tcPr>
            <w:tcW w:w="4305" w:type="dxa"/>
            <w:tcBorders>
              <w:top w:val="single" w:sz="6" w:space="0" w:color="auto"/>
              <w:left w:val="single" w:sz="6" w:space="0" w:color="auto"/>
              <w:bottom w:val="single" w:sz="6" w:space="0" w:color="auto"/>
              <w:right w:val="single" w:sz="6" w:space="0" w:color="auto"/>
            </w:tcBorders>
            <w:shd w:val="clear" w:color="auto" w:fill="DEEAF6"/>
            <w:hideMark/>
          </w:tcPr>
          <w:p w14:paraId="5EC2CCB1" w14:textId="77777777" w:rsidR="00D51839" w:rsidRPr="00ED36B4" w:rsidRDefault="00D51839" w:rsidP="00110955">
            <w:pPr>
              <w:spacing w:after="0" w:line="240" w:lineRule="auto"/>
              <w:ind w:left="90" w:right="-15"/>
              <w:jc w:val="both"/>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Payment term (expressed in calendar days)</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tc>
        <w:tc>
          <w:tcPr>
            <w:tcW w:w="4365" w:type="dxa"/>
            <w:tcBorders>
              <w:top w:val="single" w:sz="6" w:space="0" w:color="auto"/>
              <w:left w:val="single" w:sz="6" w:space="0" w:color="auto"/>
              <w:bottom w:val="single" w:sz="6" w:space="0" w:color="auto"/>
              <w:right w:val="single" w:sz="6" w:space="0" w:color="auto"/>
            </w:tcBorders>
            <w:shd w:val="clear" w:color="auto" w:fill="auto"/>
            <w:hideMark/>
          </w:tcPr>
          <w:p w14:paraId="72338EDE" w14:textId="77777777" w:rsidR="00D51839" w:rsidRPr="00ED36B4" w:rsidRDefault="00D51839" w:rsidP="00110955">
            <w:pPr>
              <w:spacing w:after="0" w:line="240" w:lineRule="auto"/>
              <w:ind w:left="90" w:right="-15"/>
              <w:jc w:val="both"/>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30 days</w:t>
            </w:r>
            <w:r w:rsidRPr="00ED36B4">
              <w:rPr>
                <w:rFonts w:eastAsia="Times New Roman" w:cs="Calibri Light"/>
                <w:color w:val="auto"/>
                <w:sz w:val="22"/>
                <w:lang w:val="es-ES" w:eastAsia="en-GB"/>
              </w:rPr>
              <w:t> </w:t>
            </w:r>
            <w:r w:rsidRPr="00ED36B4">
              <w:rPr>
                <w:rFonts w:eastAsia="Times New Roman" w:cs="Calibri Light"/>
                <w:color w:val="auto"/>
                <w:sz w:val="22"/>
                <w:lang w:eastAsia="en-GB"/>
              </w:rPr>
              <w:t> </w:t>
            </w:r>
          </w:p>
        </w:tc>
      </w:tr>
    </w:tbl>
    <w:p w14:paraId="068701CF" w14:textId="77777777" w:rsidR="00D51839" w:rsidRDefault="00D51839" w:rsidP="00D51839">
      <w:pPr>
        <w:spacing w:after="0" w:line="240" w:lineRule="auto"/>
        <w:ind w:left="780"/>
        <w:jc w:val="both"/>
        <w:textAlignment w:val="baseline"/>
        <w:rPr>
          <w:rFonts w:eastAsia="Times New Roman" w:cs="Calibri Light"/>
          <w:color w:val="auto"/>
          <w:sz w:val="22"/>
          <w:lang w:eastAsia="en-GB"/>
        </w:rPr>
      </w:pPr>
    </w:p>
    <w:p w14:paraId="045D1B00" w14:textId="5E044029" w:rsidR="00D51839" w:rsidRPr="00ED36B4" w:rsidRDefault="00D51839" w:rsidP="00D51839">
      <w:pPr>
        <w:numPr>
          <w:ilvl w:val="0"/>
          <w:numId w:val="183"/>
        </w:numPr>
        <w:spacing w:after="0" w:line="240" w:lineRule="auto"/>
        <w:ind w:left="780" w:firstLine="0"/>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xml:space="preserve">Term of the Agreement (as per </w:t>
      </w:r>
      <w:r w:rsidRPr="00ED36B4">
        <w:rPr>
          <w:rFonts w:eastAsia="Times New Roman" w:cs="Calibri Light"/>
          <w:color w:val="000000"/>
          <w:sz w:val="22"/>
          <w:shd w:val="clear" w:color="auto" w:fill="E1E3E6"/>
          <w:lang w:eastAsia="en-GB"/>
        </w:rPr>
        <w:t>Article 1</w:t>
      </w:r>
      <w:r w:rsidR="002C6403">
        <w:rPr>
          <w:rFonts w:eastAsia="Times New Roman" w:cs="Calibri Light"/>
          <w:color w:val="000000"/>
          <w:sz w:val="22"/>
          <w:shd w:val="clear" w:color="auto" w:fill="E1E3E6"/>
          <w:lang w:eastAsia="en-GB"/>
        </w:rPr>
        <w:t>1</w:t>
      </w:r>
      <w:r w:rsidRPr="00ED36B4">
        <w:rPr>
          <w:rFonts w:eastAsia="Times New Roman" w:cs="Calibri Light"/>
          <w:color w:val="auto"/>
          <w:sz w:val="22"/>
          <w:lang w:eastAsia="en-GB"/>
        </w:rPr>
        <w:t xml:space="preserve"> of the Agreement):</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p w14:paraId="02E17657" w14:textId="77C0FF4F" w:rsidR="00D51839" w:rsidRPr="00ED36B4" w:rsidRDefault="00D51839" w:rsidP="00D51839">
      <w:pPr>
        <w:spacing w:after="0" w:line="240" w:lineRule="auto"/>
        <w:ind w:left="34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xml:space="preserve">In application of Article </w:t>
      </w:r>
      <w:r w:rsidRPr="00ED36B4">
        <w:rPr>
          <w:rFonts w:eastAsia="Times New Roman" w:cs="Calibri Light"/>
          <w:color w:val="000000"/>
          <w:sz w:val="22"/>
          <w:shd w:val="clear" w:color="auto" w:fill="E1E3E6"/>
          <w:lang w:eastAsia="en-GB"/>
        </w:rPr>
        <w:t>1</w:t>
      </w:r>
      <w:r w:rsidR="002C6403">
        <w:rPr>
          <w:rFonts w:eastAsia="Times New Roman" w:cs="Calibri Light"/>
          <w:color w:val="000000"/>
          <w:sz w:val="22"/>
          <w:shd w:val="clear" w:color="auto" w:fill="E1E3E6"/>
          <w:lang w:eastAsia="en-GB"/>
        </w:rPr>
        <w:t>1</w:t>
      </w:r>
      <w:r w:rsidRPr="00ED36B4">
        <w:rPr>
          <w:rFonts w:eastAsia="Times New Roman" w:cs="Calibri Light"/>
          <w:color w:val="000000"/>
          <w:sz w:val="22"/>
          <w:shd w:val="clear" w:color="auto" w:fill="E1E3E6"/>
          <w:lang w:eastAsia="en-GB"/>
        </w:rPr>
        <w:t>.1</w:t>
      </w:r>
      <w:r w:rsidRPr="00ED36B4">
        <w:rPr>
          <w:rFonts w:eastAsia="Times New Roman" w:cs="Calibri Light"/>
          <w:color w:val="auto"/>
          <w:sz w:val="22"/>
          <w:lang w:eastAsia="en-GB"/>
        </w:rPr>
        <w:t xml:space="preserve"> of the Agreement, the Effective Date on which the Agreement starts and the Termination Tate on which the Agreement shall terminate automatically are set forth below:</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p w14:paraId="1E85A8F2" w14:textId="77777777" w:rsidR="00D51839" w:rsidRPr="00ED36B4" w:rsidRDefault="00D51839" w:rsidP="00D51839">
      <w:pPr>
        <w:spacing w:after="0" w:line="240" w:lineRule="auto"/>
        <w:ind w:left="34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tbl>
      <w:tblPr>
        <w:tblW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35"/>
        <w:gridCol w:w="4950"/>
      </w:tblGrid>
      <w:tr w:rsidR="00D51839" w:rsidRPr="00ED36B4" w14:paraId="03D918D3" w14:textId="77777777" w:rsidTr="0011095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08AF0E62"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Effective Date (start of the agreement)</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tc>
        <w:tc>
          <w:tcPr>
            <w:tcW w:w="4950"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3EC76E23"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Termination Date (i.e. date on which the last service is expected to be delivered and paid)</w:t>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tc>
      </w:tr>
      <w:tr w:rsidR="00D51839" w:rsidRPr="00ED36B4" w14:paraId="569FBB85" w14:textId="77777777" w:rsidTr="00110955">
        <w:trPr>
          <w:trHeight w:val="300"/>
        </w:trPr>
        <w:tc>
          <w:tcPr>
            <w:tcW w:w="3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99FD8A" w14:textId="77777777" w:rsidR="00D51839" w:rsidRDefault="00D51839" w:rsidP="00110955">
            <w:pPr>
              <w:spacing w:after="0" w:line="240" w:lineRule="auto"/>
              <w:ind w:left="90" w:right="-15"/>
              <w:textAlignment w:val="baseline"/>
              <w:rPr>
                <w:rFonts w:eastAsia="Times New Roman" w:cs="Calibri Light"/>
                <w:color w:val="auto"/>
                <w:sz w:val="22"/>
                <w:lang w:val="en-US" w:eastAsia="es-ES_tradnl"/>
              </w:rPr>
            </w:pPr>
            <w:r w:rsidRPr="0069653C">
              <w:rPr>
                <w:rFonts w:eastAsia="Times New Roman" w:cs="Calibri Light"/>
                <w:color w:val="auto"/>
                <w:sz w:val="22"/>
                <w:lang w:eastAsia="es-ES_tradnl"/>
              </w:rPr>
              <w:t>[Starting date of the contract]</w:t>
            </w:r>
            <w:r w:rsidRPr="0069653C">
              <w:rPr>
                <w:rFonts w:eastAsia="Times New Roman" w:cs="Calibri Light"/>
                <w:color w:val="auto"/>
                <w:sz w:val="22"/>
                <w:lang w:val="en-US" w:eastAsia="es-ES_tradnl"/>
              </w:rPr>
              <w:t> </w:t>
            </w:r>
          </w:p>
          <w:p w14:paraId="053C84A7" w14:textId="02831560" w:rsidR="00D51839" w:rsidRPr="00ED36B4" w:rsidRDefault="00D51839" w:rsidP="00063D12">
            <w:pPr>
              <w:spacing w:after="0" w:line="240" w:lineRule="auto"/>
              <w:ind w:right="-15"/>
              <w:textAlignment w:val="baseline"/>
              <w:rPr>
                <w:rFonts w:ascii="Times New Roman" w:eastAsia="Times New Roman" w:hAnsi="Times New Roman" w:cs="Times New Roman"/>
                <w:color w:val="auto"/>
                <w:sz w:val="24"/>
                <w:szCs w:val="24"/>
                <w:lang w:eastAsia="en-GB"/>
              </w:rPr>
            </w:pP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B9A945" w14:textId="77777777" w:rsidR="00D51839" w:rsidRPr="00ED36B4" w:rsidRDefault="00D51839" w:rsidP="00110955">
            <w:pPr>
              <w:spacing w:after="0" w:line="240" w:lineRule="auto"/>
              <w:ind w:left="90" w:right="-15"/>
              <w:textAlignment w:val="baseline"/>
              <w:rPr>
                <w:rFonts w:ascii="Times New Roman" w:eastAsia="Times New Roman" w:hAnsi="Times New Roman" w:cs="Times New Roman"/>
                <w:color w:val="auto"/>
                <w:sz w:val="24"/>
                <w:szCs w:val="24"/>
                <w:lang w:eastAsia="en-GB"/>
              </w:rPr>
            </w:pPr>
            <w:r w:rsidRPr="00ED36B4">
              <w:rPr>
                <w:rFonts w:eastAsia="Times New Roman" w:cs="Calibri Light"/>
                <w:color w:val="auto"/>
                <w:sz w:val="22"/>
                <w:lang w:eastAsia="en-GB"/>
              </w:rPr>
              <w:t>[End date of the contract]</w:t>
            </w:r>
          </w:p>
        </w:tc>
      </w:tr>
    </w:tbl>
    <w:p w14:paraId="48E9B61B" w14:textId="165FF795" w:rsidR="00D51839" w:rsidRPr="0069653C" w:rsidRDefault="00D51839" w:rsidP="00D51839">
      <w:pPr>
        <w:autoSpaceDE w:val="0"/>
        <w:autoSpaceDN w:val="0"/>
        <w:spacing w:before="120" w:after="120" w:line="276" w:lineRule="auto"/>
        <w:ind w:left="357"/>
        <w:jc w:val="both"/>
        <w:rPr>
          <w:rFonts w:eastAsia="Arial" w:cs="Arial"/>
          <w:color w:val="auto"/>
          <w:sz w:val="24"/>
          <w:lang w:val="en-US"/>
        </w:rPr>
      </w:pPr>
    </w:p>
    <w:p w14:paraId="48FC0D03" w14:textId="77777777" w:rsidR="00D51839" w:rsidRDefault="00D51839" w:rsidP="00D51839">
      <w:pPr>
        <w:spacing w:after="0" w:line="240" w:lineRule="auto"/>
        <w:textAlignment w:val="baseline"/>
        <w:rPr>
          <w:rFonts w:ascii="Segoe UI" w:eastAsia="Times New Roman" w:hAnsi="Segoe UI" w:cs="Segoe UI"/>
          <w:color w:val="auto"/>
          <w:sz w:val="18"/>
          <w:szCs w:val="18"/>
          <w:lang w:val="en-US" w:eastAsia="en-GB"/>
        </w:rPr>
      </w:pPr>
    </w:p>
    <w:p w14:paraId="088C18D1" w14:textId="77777777" w:rsidR="00D51839" w:rsidRDefault="00D51839" w:rsidP="00D51839">
      <w:pPr>
        <w:spacing w:after="0" w:line="240" w:lineRule="auto"/>
        <w:textAlignment w:val="baseline"/>
        <w:rPr>
          <w:rFonts w:ascii="Segoe UI" w:eastAsia="Times New Roman" w:hAnsi="Segoe UI" w:cs="Segoe UI"/>
          <w:color w:val="auto"/>
          <w:sz w:val="18"/>
          <w:szCs w:val="18"/>
          <w:lang w:val="en-US" w:eastAsia="en-GB"/>
        </w:rPr>
      </w:pPr>
    </w:p>
    <w:p w14:paraId="01A0AC8C" w14:textId="77777777" w:rsidR="00D51839" w:rsidRDefault="00D51839" w:rsidP="00D51839">
      <w:pPr>
        <w:spacing w:after="0" w:line="240" w:lineRule="auto"/>
        <w:textAlignment w:val="baseline"/>
        <w:rPr>
          <w:rFonts w:ascii="Segoe UI" w:eastAsia="Times New Roman" w:hAnsi="Segoe UI" w:cs="Segoe UI"/>
          <w:color w:val="auto"/>
          <w:sz w:val="18"/>
          <w:szCs w:val="18"/>
          <w:lang w:val="en-US" w:eastAsia="en-GB"/>
        </w:rPr>
      </w:pPr>
    </w:p>
    <w:p w14:paraId="0C082731" w14:textId="77777777" w:rsidR="00D51839" w:rsidRDefault="00D51839" w:rsidP="00D51839">
      <w:pPr>
        <w:spacing w:after="0" w:line="240" w:lineRule="auto"/>
        <w:textAlignment w:val="baseline"/>
        <w:rPr>
          <w:rFonts w:ascii="Segoe UI" w:eastAsia="Times New Roman" w:hAnsi="Segoe UI" w:cs="Segoe UI"/>
          <w:color w:val="auto"/>
          <w:sz w:val="18"/>
          <w:szCs w:val="18"/>
          <w:lang w:val="en-US" w:eastAsia="en-GB"/>
        </w:rPr>
      </w:pPr>
    </w:p>
    <w:p w14:paraId="2FD43C59" w14:textId="77777777" w:rsidR="00D51839" w:rsidRDefault="00D51839" w:rsidP="00D51839">
      <w:pPr>
        <w:spacing w:after="0" w:line="240" w:lineRule="auto"/>
        <w:textAlignment w:val="baseline"/>
        <w:rPr>
          <w:rFonts w:ascii="Segoe UI" w:eastAsia="Times New Roman" w:hAnsi="Segoe UI" w:cs="Segoe UI"/>
          <w:color w:val="auto"/>
          <w:sz w:val="18"/>
          <w:szCs w:val="18"/>
          <w:lang w:val="en-US" w:eastAsia="en-GB"/>
        </w:rPr>
      </w:pPr>
    </w:p>
    <w:p w14:paraId="7C1BF47D" w14:textId="77777777" w:rsidR="00D51839" w:rsidRDefault="00D51839" w:rsidP="00D51839">
      <w:pPr>
        <w:spacing w:after="0" w:line="240" w:lineRule="auto"/>
        <w:textAlignment w:val="baseline"/>
        <w:rPr>
          <w:rFonts w:ascii="Segoe UI" w:eastAsia="Times New Roman" w:hAnsi="Segoe UI" w:cs="Segoe UI"/>
          <w:color w:val="auto"/>
          <w:sz w:val="18"/>
          <w:szCs w:val="18"/>
          <w:lang w:val="en-US" w:eastAsia="en-GB"/>
        </w:rPr>
      </w:pPr>
    </w:p>
    <w:p w14:paraId="577F52E9" w14:textId="77777777" w:rsidR="00D51839" w:rsidRDefault="00D51839" w:rsidP="00D51839">
      <w:pPr>
        <w:spacing w:after="0" w:line="240" w:lineRule="auto"/>
        <w:textAlignment w:val="baseline"/>
        <w:rPr>
          <w:rFonts w:ascii="Segoe UI" w:eastAsia="Times New Roman" w:hAnsi="Segoe UI" w:cs="Segoe UI"/>
          <w:color w:val="auto"/>
          <w:sz w:val="18"/>
          <w:szCs w:val="18"/>
          <w:lang w:val="en-US" w:eastAsia="en-GB"/>
        </w:rPr>
      </w:pPr>
    </w:p>
    <w:p w14:paraId="4A9CA1AA" w14:textId="77777777" w:rsidR="00D51839" w:rsidRDefault="00D51839" w:rsidP="00D51839">
      <w:pPr>
        <w:spacing w:after="0" w:line="240" w:lineRule="auto"/>
        <w:textAlignment w:val="baseline"/>
        <w:rPr>
          <w:rFonts w:ascii="Segoe UI" w:eastAsia="Times New Roman" w:hAnsi="Segoe UI" w:cs="Segoe UI"/>
          <w:color w:val="auto"/>
          <w:sz w:val="18"/>
          <w:szCs w:val="18"/>
          <w:lang w:val="en-US" w:eastAsia="en-GB"/>
        </w:rPr>
      </w:pPr>
    </w:p>
    <w:p w14:paraId="15D99254" w14:textId="77777777" w:rsidR="00C37321" w:rsidRDefault="00C37321" w:rsidP="00D51839">
      <w:pPr>
        <w:spacing w:after="0" w:line="240" w:lineRule="auto"/>
        <w:textAlignment w:val="baseline"/>
        <w:rPr>
          <w:rFonts w:ascii="Segoe UI" w:eastAsia="Times New Roman" w:hAnsi="Segoe UI" w:cs="Segoe UI"/>
          <w:color w:val="auto"/>
          <w:sz w:val="18"/>
          <w:szCs w:val="18"/>
          <w:lang w:val="en-US" w:eastAsia="en-GB"/>
        </w:rPr>
      </w:pPr>
    </w:p>
    <w:p w14:paraId="75F2DB9C" w14:textId="77777777" w:rsidR="00D51839" w:rsidRDefault="00D51839" w:rsidP="00D51839">
      <w:pPr>
        <w:spacing w:after="0" w:line="240" w:lineRule="auto"/>
        <w:textAlignment w:val="baseline"/>
        <w:rPr>
          <w:rFonts w:ascii="Segoe UI" w:eastAsia="Times New Roman" w:hAnsi="Segoe UI" w:cs="Segoe UI"/>
          <w:color w:val="auto"/>
          <w:sz w:val="18"/>
          <w:szCs w:val="18"/>
          <w:lang w:val="en-US" w:eastAsia="en-GB"/>
        </w:rPr>
      </w:pPr>
    </w:p>
    <w:p w14:paraId="5DE4711A" w14:textId="77777777" w:rsidR="00D51839" w:rsidRPr="00ED36B4" w:rsidRDefault="00D51839" w:rsidP="00063D12">
      <w:pPr>
        <w:spacing w:after="0" w:line="240" w:lineRule="auto"/>
        <w:jc w:val="both"/>
        <w:textAlignment w:val="baseline"/>
        <w:rPr>
          <w:rFonts w:ascii="Segoe UI" w:eastAsia="Times New Roman" w:hAnsi="Segoe UI" w:cs="Segoe UI"/>
          <w:color w:val="auto"/>
          <w:sz w:val="18"/>
          <w:szCs w:val="18"/>
          <w:lang w:eastAsia="en-GB"/>
        </w:rPr>
      </w:pPr>
    </w:p>
    <w:p w14:paraId="1FD3CB3D" w14:textId="1AA42E4A" w:rsidR="00D51839" w:rsidRDefault="00D51839" w:rsidP="00D51839">
      <w:pPr>
        <w:spacing w:after="0" w:line="240" w:lineRule="auto"/>
        <w:jc w:val="center"/>
        <w:textAlignment w:val="baseline"/>
        <w:rPr>
          <w:rFonts w:eastAsia="Times New Roman" w:cs="Calibri Light"/>
          <w:b/>
          <w:bCs/>
          <w:color w:val="214EA2"/>
          <w:sz w:val="22"/>
          <w:lang w:eastAsia="en-GB"/>
        </w:rPr>
      </w:pPr>
      <w:r w:rsidRPr="00ED36B4">
        <w:rPr>
          <w:rFonts w:eastAsia="Times New Roman" w:cs="Calibri Light"/>
          <w:b/>
          <w:bCs/>
          <w:color w:val="214EA2"/>
          <w:sz w:val="22"/>
          <w:lang w:eastAsia="en-GB"/>
        </w:rPr>
        <w:lastRenderedPageBreak/>
        <w:t>Annex 2 to the Services Agreement </w:t>
      </w:r>
      <w:r w:rsidR="00063D12">
        <w:rPr>
          <w:rFonts w:eastAsia="Times New Roman" w:cs="Calibri Light"/>
          <w:b/>
          <w:bCs/>
          <w:color w:val="214EA2"/>
          <w:sz w:val="22"/>
          <w:lang w:eastAsia="en-GB"/>
        </w:rPr>
        <w:t>for 2026-2027</w:t>
      </w:r>
    </w:p>
    <w:p w14:paraId="1B28A001" w14:textId="77777777" w:rsidR="00D51839" w:rsidRPr="00ED36B4" w:rsidRDefault="00D51839" w:rsidP="00D51839">
      <w:pPr>
        <w:spacing w:after="0" w:line="240" w:lineRule="auto"/>
        <w:jc w:val="center"/>
        <w:textAlignment w:val="baseline"/>
        <w:rPr>
          <w:rFonts w:ascii="Segoe UI" w:eastAsia="Times New Roman" w:hAnsi="Segoe UI" w:cs="Segoe UI"/>
          <w:b/>
          <w:bCs/>
          <w:color w:val="214EA2"/>
          <w:sz w:val="18"/>
          <w:szCs w:val="18"/>
          <w:lang w:eastAsia="en-GB"/>
        </w:rPr>
      </w:pPr>
    </w:p>
    <w:p w14:paraId="008F0CBA" w14:textId="77777777" w:rsidR="00D51839" w:rsidRPr="00ED36B4" w:rsidRDefault="00D51839" w:rsidP="00D51839">
      <w:pPr>
        <w:spacing w:after="0" w:line="240" w:lineRule="auto"/>
        <w:ind w:left="705" w:right="240"/>
        <w:jc w:val="center"/>
        <w:textAlignment w:val="baseline"/>
        <w:rPr>
          <w:rFonts w:ascii="Segoe UI" w:eastAsia="Times New Roman" w:hAnsi="Segoe UI" w:cs="Segoe UI"/>
          <w:color w:val="auto"/>
          <w:sz w:val="18"/>
          <w:szCs w:val="18"/>
          <w:lang w:eastAsia="en-GB"/>
        </w:rPr>
      </w:pPr>
      <w:r w:rsidRPr="00ED36B4">
        <w:rPr>
          <w:rFonts w:eastAsia="Times New Roman" w:cs="Calibri Light"/>
          <w:b/>
          <w:bCs/>
          <w:color w:val="92D050"/>
          <w:sz w:val="22"/>
          <w:lang w:val="hu-HU" w:eastAsia="en-GB"/>
        </w:rPr>
        <w:t>Data Processing Agreement </w:t>
      </w:r>
      <w:r w:rsidRPr="00ED36B4">
        <w:rPr>
          <w:rFonts w:eastAsia="Times New Roman" w:cs="Calibri Light"/>
          <w:color w:val="92D050"/>
          <w:sz w:val="22"/>
          <w:lang w:eastAsia="en-GB"/>
        </w:rPr>
        <w:t> </w:t>
      </w:r>
    </w:p>
    <w:p w14:paraId="0AE7DE31" w14:textId="77777777" w:rsidR="00D51839" w:rsidRPr="00ED36B4" w:rsidRDefault="00D51839" w:rsidP="00D51839">
      <w:pPr>
        <w:spacing w:after="0" w:line="240" w:lineRule="auto"/>
        <w:ind w:left="705" w:right="240"/>
        <w:jc w:val="center"/>
        <w:textAlignment w:val="baseline"/>
        <w:rPr>
          <w:rFonts w:ascii="Segoe UI" w:eastAsia="Times New Roman" w:hAnsi="Segoe UI" w:cs="Segoe UI"/>
          <w:color w:val="auto"/>
          <w:sz w:val="18"/>
          <w:szCs w:val="18"/>
          <w:lang w:eastAsia="en-GB"/>
        </w:rPr>
      </w:pPr>
      <w:r w:rsidRPr="00ED36B4">
        <w:rPr>
          <w:rFonts w:eastAsia="Times New Roman" w:cs="Calibri Light"/>
          <w:color w:val="92D050"/>
          <w:sz w:val="22"/>
          <w:lang w:eastAsia="en-GB"/>
        </w:rPr>
        <w:t> </w:t>
      </w:r>
    </w:p>
    <w:p w14:paraId="7C43AE21" w14:textId="77777777" w:rsidR="00D51839" w:rsidRDefault="00D51839" w:rsidP="00D51839">
      <w:pPr>
        <w:numPr>
          <w:ilvl w:val="0"/>
          <w:numId w:val="184"/>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processing of personal data is subject to Regulation (EU) 2016/679 of the European Parliament and Council regarding the protection of individuals in respect of the processing of their personal data and of the free circulation of such data (hereinafter referred to as “</w:t>
      </w:r>
      <w:r w:rsidRPr="00ED36B4">
        <w:rPr>
          <w:rFonts w:eastAsia="Times New Roman" w:cs="Calibri Light"/>
          <w:b/>
          <w:bCs/>
          <w:color w:val="auto"/>
          <w:sz w:val="22"/>
          <w:lang w:val="hu-HU" w:eastAsia="en-GB"/>
        </w:rPr>
        <w:t>GDPR</w:t>
      </w:r>
      <w:r w:rsidRPr="00ED36B4">
        <w:rPr>
          <w:rFonts w:eastAsia="Times New Roman" w:cs="Calibri Light"/>
          <w:color w:val="auto"/>
          <w:sz w:val="22"/>
          <w:lang w:val="hu-HU" w:eastAsia="en-GB"/>
        </w:rPr>
        <w:t>”) and the Spanish Organic Law 3/2018, of 5</w:t>
      </w:r>
      <w:r w:rsidRPr="00ED36B4">
        <w:rPr>
          <w:rFonts w:eastAsia="Times New Roman" w:cs="Calibri Light"/>
          <w:color w:val="auto"/>
          <w:sz w:val="17"/>
          <w:szCs w:val="17"/>
          <w:vertAlign w:val="superscript"/>
          <w:lang w:val="hu-HU" w:eastAsia="en-GB"/>
        </w:rPr>
        <w:t>th</w:t>
      </w:r>
      <w:r w:rsidRPr="00ED36B4">
        <w:rPr>
          <w:rFonts w:eastAsia="Times New Roman" w:cs="Calibri Light"/>
          <w:color w:val="auto"/>
          <w:sz w:val="22"/>
          <w:lang w:val="hu-HU" w:eastAsia="en-GB"/>
        </w:rPr>
        <w:t xml:space="preserve"> December, on Personal Data Protection and Guarantee of Digital Rights.</w:t>
      </w:r>
      <w:r w:rsidRPr="00ED36B4">
        <w:rPr>
          <w:rFonts w:eastAsia="Times New Roman" w:cs="Calibri Light"/>
          <w:color w:val="auto"/>
          <w:sz w:val="22"/>
          <w:lang w:eastAsia="en-GB"/>
        </w:rPr>
        <w:t> </w:t>
      </w:r>
    </w:p>
    <w:p w14:paraId="4B7C1366"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72010565" w14:textId="77777777" w:rsidR="00D51839" w:rsidRDefault="00D51839" w:rsidP="00D51839">
      <w:pPr>
        <w:numPr>
          <w:ilvl w:val="0"/>
          <w:numId w:val="185"/>
        </w:numPr>
        <w:spacing w:after="0" w:line="240" w:lineRule="auto"/>
        <w:ind w:left="10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Parties have determined to enter into this data processing agreement (hereinafter referred to as the “</w:t>
      </w:r>
      <w:r w:rsidRPr="00ED36B4">
        <w:rPr>
          <w:rFonts w:eastAsia="Times New Roman" w:cs="Calibri Light"/>
          <w:b/>
          <w:bCs/>
          <w:color w:val="auto"/>
          <w:sz w:val="22"/>
          <w:lang w:val="hu-HU" w:eastAsia="en-GB"/>
        </w:rPr>
        <w:t>Data Processing Agreement”</w:t>
      </w:r>
      <w:r w:rsidRPr="00ED36B4">
        <w:rPr>
          <w:rFonts w:eastAsia="Times New Roman" w:cs="Calibri Light"/>
          <w:color w:val="auto"/>
          <w:sz w:val="22"/>
          <w:lang w:val="hu-HU" w:eastAsia="en-GB"/>
        </w:rPr>
        <w:t>) having due regard to Article 28 of the GDPR. </w:t>
      </w:r>
      <w:r w:rsidRPr="00ED36B4">
        <w:rPr>
          <w:rFonts w:eastAsia="Times New Roman" w:cs="Calibri Light"/>
          <w:color w:val="auto"/>
          <w:sz w:val="22"/>
          <w:lang w:eastAsia="en-GB"/>
        </w:rPr>
        <w:t> </w:t>
      </w:r>
    </w:p>
    <w:p w14:paraId="2C38EFA0" w14:textId="77777777" w:rsidR="00D51839" w:rsidRPr="00ED36B4" w:rsidRDefault="00D51839" w:rsidP="00D51839">
      <w:pPr>
        <w:spacing w:after="0" w:line="240" w:lineRule="auto"/>
        <w:ind w:left="1005"/>
        <w:jc w:val="both"/>
        <w:textAlignment w:val="baseline"/>
        <w:rPr>
          <w:rFonts w:eastAsia="Times New Roman" w:cs="Calibri Light"/>
          <w:color w:val="auto"/>
          <w:sz w:val="22"/>
          <w:lang w:eastAsia="en-GB"/>
        </w:rPr>
      </w:pPr>
    </w:p>
    <w:p w14:paraId="1F4D9163" w14:textId="77777777" w:rsidR="00D51839" w:rsidRDefault="00D51839" w:rsidP="00D51839">
      <w:pPr>
        <w:numPr>
          <w:ilvl w:val="0"/>
          <w:numId w:val="186"/>
        </w:numPr>
        <w:spacing w:after="0" w:line="240" w:lineRule="auto"/>
        <w:ind w:left="10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This Data Processing Agreement is an integral part to the service agreement agreed between the Parties (hereinafter referred to as the “</w:t>
      </w:r>
      <w:r w:rsidRPr="00ED36B4">
        <w:rPr>
          <w:rFonts w:eastAsia="Times New Roman" w:cs="Calibri Light"/>
          <w:b/>
          <w:bCs/>
          <w:color w:val="auto"/>
          <w:sz w:val="22"/>
          <w:lang w:val="hu-HU" w:eastAsia="en-GB"/>
        </w:rPr>
        <w:t>Agreement</w:t>
      </w:r>
      <w:r w:rsidRPr="00ED36B4">
        <w:rPr>
          <w:rFonts w:eastAsia="Times New Roman" w:cs="Calibri Light"/>
          <w:color w:val="auto"/>
          <w:sz w:val="22"/>
          <w:lang w:val="hu-HU" w:eastAsia="en-GB"/>
        </w:rPr>
        <w:t>”)</w:t>
      </w:r>
      <w:r w:rsidRPr="00ED36B4">
        <w:rPr>
          <w:rFonts w:eastAsia="Times New Roman" w:cs="Calibri Light"/>
          <w:color w:val="auto"/>
          <w:sz w:val="22"/>
          <w:lang w:eastAsia="en-GB"/>
        </w:rPr>
        <w:t> </w:t>
      </w:r>
    </w:p>
    <w:p w14:paraId="7DCF48A5" w14:textId="77777777" w:rsidR="00D51839" w:rsidRPr="00ED36B4" w:rsidRDefault="00D51839" w:rsidP="00D51839">
      <w:pPr>
        <w:spacing w:after="0" w:line="240" w:lineRule="auto"/>
        <w:ind w:left="1005"/>
        <w:jc w:val="both"/>
        <w:textAlignment w:val="baseline"/>
        <w:rPr>
          <w:rFonts w:eastAsia="Times New Roman" w:cs="Calibri Light"/>
          <w:color w:val="auto"/>
          <w:sz w:val="22"/>
          <w:lang w:eastAsia="en-GB"/>
        </w:rPr>
      </w:pPr>
    </w:p>
    <w:p w14:paraId="1422DF4D" w14:textId="77777777" w:rsidR="00D51839" w:rsidRPr="00ED36B4" w:rsidRDefault="00D51839" w:rsidP="00D51839">
      <w:pPr>
        <w:numPr>
          <w:ilvl w:val="0"/>
          <w:numId w:val="187"/>
        </w:numPr>
        <w:spacing w:after="0" w:line="240" w:lineRule="auto"/>
        <w:ind w:left="10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In the course of providing the services, the Supplier as "</w:t>
      </w:r>
      <w:r w:rsidRPr="00ED36B4">
        <w:rPr>
          <w:rFonts w:eastAsia="Times New Roman" w:cs="Calibri Light"/>
          <w:b/>
          <w:bCs/>
          <w:color w:val="auto"/>
          <w:sz w:val="22"/>
          <w:lang w:val="hu-HU" w:eastAsia="en-GB"/>
        </w:rPr>
        <w:t>Data Processor</w:t>
      </w:r>
      <w:r w:rsidRPr="00ED36B4">
        <w:rPr>
          <w:rFonts w:eastAsia="Times New Roman" w:cs="Calibri Light"/>
          <w:color w:val="auto"/>
          <w:sz w:val="22"/>
          <w:lang w:val="hu-HU" w:eastAsia="en-GB"/>
        </w:rPr>
        <w:t>" may process personal data on behalf of EIT UM (hereinafter referred to as: “</w:t>
      </w:r>
      <w:r w:rsidRPr="00ED36B4">
        <w:rPr>
          <w:rFonts w:eastAsia="Times New Roman" w:cs="Calibri Light"/>
          <w:b/>
          <w:bCs/>
          <w:color w:val="auto"/>
          <w:sz w:val="22"/>
          <w:lang w:val="hu-HU" w:eastAsia="en-GB"/>
        </w:rPr>
        <w:t>Personal Data</w:t>
      </w:r>
      <w:r w:rsidRPr="00ED36B4">
        <w:rPr>
          <w:rFonts w:eastAsia="Times New Roman" w:cs="Calibri Light"/>
          <w:color w:val="auto"/>
          <w:sz w:val="22"/>
          <w:lang w:val="hu-HU" w:eastAsia="en-GB"/>
        </w:rPr>
        <w:t>”). Therefore, the Parties agree to comply with the following provisions with respect to any Personal Data, each acting reasonably and in good faith.</w:t>
      </w:r>
      <w:r w:rsidRPr="00ED36B4">
        <w:rPr>
          <w:rFonts w:eastAsia="Times New Roman" w:cs="Calibri Light"/>
          <w:color w:val="auto"/>
          <w:sz w:val="22"/>
          <w:lang w:eastAsia="en-GB"/>
        </w:rPr>
        <w:t> </w:t>
      </w:r>
    </w:p>
    <w:p w14:paraId="18DD3C1B"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7A5794F2" w14:textId="77777777" w:rsidR="00D51839" w:rsidRPr="00ED36B4" w:rsidRDefault="00D51839" w:rsidP="00D51839">
      <w:pPr>
        <w:spacing w:after="0" w:line="240" w:lineRule="auto"/>
        <w:ind w:left="150"/>
        <w:jc w:val="center"/>
        <w:textAlignment w:val="baseline"/>
        <w:rPr>
          <w:rFonts w:ascii="Segoe UI" w:eastAsia="Times New Roman" w:hAnsi="Segoe UI" w:cs="Segoe UI"/>
          <w:color w:val="auto"/>
          <w:sz w:val="18"/>
          <w:szCs w:val="18"/>
          <w:lang w:eastAsia="en-GB"/>
        </w:rPr>
      </w:pPr>
      <w:r w:rsidRPr="00ED36B4">
        <w:rPr>
          <w:rFonts w:eastAsia="Times New Roman" w:cs="Calibri Light"/>
          <w:b/>
          <w:bCs/>
          <w:color w:val="auto"/>
          <w:sz w:val="22"/>
          <w:lang w:val="hu-HU" w:eastAsia="en-GB"/>
        </w:rPr>
        <w:t>NOW IT IS HEREBY AGREED as follows:</w:t>
      </w:r>
      <w:r w:rsidRPr="00ED36B4">
        <w:rPr>
          <w:rFonts w:eastAsia="Times New Roman" w:cs="Calibri Light"/>
          <w:color w:val="auto"/>
          <w:sz w:val="22"/>
          <w:lang w:eastAsia="en-GB"/>
        </w:rPr>
        <w:t> </w:t>
      </w:r>
    </w:p>
    <w:p w14:paraId="0CFA1083"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70582A28"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0156460F" w14:textId="77777777" w:rsidR="00D51839" w:rsidRPr="00ED36B4" w:rsidRDefault="00D51839" w:rsidP="00D51839">
      <w:pPr>
        <w:numPr>
          <w:ilvl w:val="0"/>
          <w:numId w:val="188"/>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Purpose of the Processing Engagement.</w:t>
      </w:r>
      <w:r w:rsidRPr="00ED36B4">
        <w:rPr>
          <w:rFonts w:eastAsia="Times New Roman" w:cs="Calibri Light"/>
          <w:color w:val="2E74B5"/>
          <w:sz w:val="22"/>
          <w:lang w:eastAsia="en-GB"/>
        </w:rPr>
        <w:t> </w:t>
      </w:r>
    </w:p>
    <w:p w14:paraId="65CA54EF" w14:textId="77777777" w:rsidR="00D51839" w:rsidRPr="00ED36B4" w:rsidRDefault="00D51839" w:rsidP="00D51839">
      <w:pPr>
        <w:spacing w:after="0" w:line="240" w:lineRule="auto"/>
        <w:ind w:left="135"/>
        <w:jc w:val="both"/>
        <w:textAlignment w:val="baseline"/>
        <w:rPr>
          <w:rFonts w:ascii="Segoe UI" w:eastAsia="Times New Roman" w:hAnsi="Segoe UI" w:cs="Segoe UI"/>
          <w:color w:val="auto"/>
          <w:sz w:val="18"/>
          <w:szCs w:val="18"/>
          <w:lang w:eastAsia="en-GB"/>
        </w:rPr>
      </w:pPr>
      <w:r w:rsidRPr="00ED36B4">
        <w:rPr>
          <w:rFonts w:eastAsia="Times New Roman" w:cs="Calibri Light"/>
          <w:color w:val="4472C4"/>
          <w:sz w:val="22"/>
          <w:lang w:eastAsia="en-GB"/>
        </w:rPr>
        <w:t> </w:t>
      </w:r>
    </w:p>
    <w:p w14:paraId="1E294A77" w14:textId="77777777" w:rsidR="00D51839" w:rsidRPr="00ED36B4" w:rsidRDefault="00D51839" w:rsidP="00D51839">
      <w:pPr>
        <w:numPr>
          <w:ilvl w:val="0"/>
          <w:numId w:val="189"/>
        </w:numPr>
        <w:spacing w:after="0" w:line="240" w:lineRule="auto"/>
        <w:ind w:left="855" w:firstLine="555"/>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purpose of this Data Processing Agreement is to establish the conditions under which during the provision of services the Data Processor shall be responsible for the processing of the Personal Data contained in some databases owned by the EIT UM and/or the Personal Data collected from data subjects, in order to be able to fulfill with the Agreement obligations. In no case the Data Processor may use the data to its own purposes.</w:t>
      </w:r>
      <w:r w:rsidRPr="00ED36B4">
        <w:rPr>
          <w:rFonts w:eastAsia="Times New Roman" w:cs="Calibri Light"/>
          <w:color w:val="auto"/>
          <w:sz w:val="22"/>
          <w:lang w:eastAsia="en-GB"/>
        </w:rPr>
        <w:t> </w:t>
      </w:r>
    </w:p>
    <w:p w14:paraId="311A7CEA" w14:textId="77777777" w:rsidR="00D51839" w:rsidRPr="00ED36B4" w:rsidRDefault="00D51839" w:rsidP="00D51839">
      <w:pPr>
        <w:spacing w:after="0" w:line="240" w:lineRule="auto"/>
        <w:ind w:left="13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6036F3FF" w14:textId="77777777" w:rsidR="00D51839" w:rsidRPr="00ED36B4" w:rsidRDefault="00D51839" w:rsidP="00D51839">
      <w:pPr>
        <w:numPr>
          <w:ilvl w:val="0"/>
          <w:numId w:val="190"/>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Processing of EIT UM’s Personal Data</w:t>
      </w:r>
      <w:r w:rsidRPr="00ED36B4">
        <w:rPr>
          <w:rFonts w:eastAsia="Times New Roman" w:cs="Calibri Light"/>
          <w:color w:val="2E74B5"/>
          <w:sz w:val="22"/>
          <w:lang w:eastAsia="en-GB"/>
        </w:rPr>
        <w:t> </w:t>
      </w:r>
    </w:p>
    <w:p w14:paraId="373B796B" w14:textId="77777777" w:rsidR="00D51839" w:rsidRPr="00ED36B4" w:rsidRDefault="00D51839" w:rsidP="00D51839">
      <w:pPr>
        <w:spacing w:after="0" w:line="240" w:lineRule="auto"/>
        <w:ind w:left="135"/>
        <w:jc w:val="both"/>
        <w:textAlignment w:val="baseline"/>
        <w:rPr>
          <w:rFonts w:ascii="Segoe UI" w:eastAsia="Times New Roman" w:hAnsi="Segoe UI" w:cs="Segoe UI"/>
          <w:color w:val="auto"/>
          <w:sz w:val="18"/>
          <w:szCs w:val="18"/>
          <w:lang w:eastAsia="en-GB"/>
        </w:rPr>
      </w:pPr>
      <w:r w:rsidRPr="00ED36B4">
        <w:rPr>
          <w:rFonts w:eastAsia="Times New Roman" w:cs="Calibri Light"/>
          <w:color w:val="2E74B5"/>
          <w:sz w:val="22"/>
          <w:lang w:eastAsia="en-GB"/>
        </w:rPr>
        <w:t> </w:t>
      </w:r>
    </w:p>
    <w:p w14:paraId="7FADDA67" w14:textId="77777777" w:rsidR="00D51839" w:rsidRDefault="00D51839" w:rsidP="00D51839">
      <w:pPr>
        <w:numPr>
          <w:ilvl w:val="0"/>
          <w:numId w:val="191"/>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EIT UM instructs the Data Processor to process EIT UM’s Personal Data.</w:t>
      </w:r>
      <w:r w:rsidRPr="00ED36B4">
        <w:rPr>
          <w:rFonts w:eastAsia="Times New Roman" w:cs="Calibri Light"/>
          <w:color w:val="auto"/>
          <w:sz w:val="22"/>
          <w:lang w:eastAsia="en-GB"/>
        </w:rPr>
        <w:t> </w:t>
      </w:r>
    </w:p>
    <w:p w14:paraId="4BA0AE22"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6E452CFC" w14:textId="77777777" w:rsidR="00D51839" w:rsidRPr="00ED36B4" w:rsidRDefault="00D51839" w:rsidP="00D51839">
      <w:pPr>
        <w:numPr>
          <w:ilvl w:val="0"/>
          <w:numId w:val="192"/>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Data Processor shall:</w:t>
      </w:r>
      <w:r w:rsidRPr="00ED36B4">
        <w:rPr>
          <w:rFonts w:eastAsia="Times New Roman" w:cs="Calibri Light"/>
          <w:color w:val="auto"/>
          <w:sz w:val="22"/>
          <w:lang w:eastAsia="en-GB"/>
        </w:rPr>
        <w:t> </w:t>
      </w:r>
    </w:p>
    <w:p w14:paraId="6EDBA931" w14:textId="77777777" w:rsidR="00D51839" w:rsidRDefault="00D51839" w:rsidP="00D51839">
      <w:pPr>
        <w:numPr>
          <w:ilvl w:val="0"/>
          <w:numId w:val="193"/>
        </w:numPr>
        <w:spacing w:after="0" w:line="240" w:lineRule="auto"/>
        <w:ind w:left="157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Comply with all applicable data protection laws in the processing of EIT UM’s Personal Data;</w:t>
      </w:r>
      <w:r w:rsidRPr="00ED36B4">
        <w:rPr>
          <w:rFonts w:eastAsia="Times New Roman" w:cs="Calibri Light"/>
          <w:color w:val="auto"/>
          <w:sz w:val="22"/>
          <w:lang w:eastAsia="en-GB"/>
        </w:rPr>
        <w:t> </w:t>
      </w:r>
    </w:p>
    <w:p w14:paraId="7BF6C17F" w14:textId="77777777" w:rsidR="00D51839" w:rsidRPr="00ED36B4" w:rsidRDefault="00D51839" w:rsidP="00D51839">
      <w:pPr>
        <w:spacing w:after="0" w:line="240" w:lineRule="auto"/>
        <w:ind w:left="1575"/>
        <w:jc w:val="both"/>
        <w:textAlignment w:val="baseline"/>
        <w:rPr>
          <w:rFonts w:eastAsia="Times New Roman" w:cs="Calibri Light"/>
          <w:color w:val="auto"/>
          <w:sz w:val="22"/>
          <w:lang w:eastAsia="en-GB"/>
        </w:rPr>
      </w:pPr>
    </w:p>
    <w:p w14:paraId="446A195A" w14:textId="77777777" w:rsidR="00D51839" w:rsidRDefault="00D51839" w:rsidP="00D51839">
      <w:pPr>
        <w:numPr>
          <w:ilvl w:val="0"/>
          <w:numId w:val="194"/>
        </w:numPr>
        <w:spacing w:after="0" w:line="240" w:lineRule="auto"/>
        <w:ind w:left="157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Not process EIT UM’s Personal Data other than on the relevant EIT UM’s documented instructions and only for the purpose of providing the services under the Agreement. If the Data Processor considers that any of the instructions infringes the GDPR or any other data protection regulation, the Data Processor shall immediately inform EIT UM.</w:t>
      </w:r>
      <w:r w:rsidRPr="00ED36B4">
        <w:rPr>
          <w:rFonts w:eastAsia="Times New Roman" w:cs="Calibri Light"/>
          <w:color w:val="auto"/>
          <w:sz w:val="22"/>
          <w:lang w:eastAsia="en-GB"/>
        </w:rPr>
        <w:t> </w:t>
      </w:r>
    </w:p>
    <w:p w14:paraId="355B610C" w14:textId="77777777" w:rsidR="00D51839" w:rsidRPr="00ED36B4" w:rsidRDefault="00D51839" w:rsidP="00D51839">
      <w:pPr>
        <w:spacing w:after="0" w:line="240" w:lineRule="auto"/>
        <w:ind w:left="1575"/>
        <w:jc w:val="both"/>
        <w:textAlignment w:val="baseline"/>
        <w:rPr>
          <w:rFonts w:eastAsia="Times New Roman" w:cs="Calibri Light"/>
          <w:color w:val="auto"/>
          <w:sz w:val="22"/>
          <w:lang w:eastAsia="en-GB"/>
        </w:rPr>
      </w:pPr>
    </w:p>
    <w:p w14:paraId="0DA6CA8D" w14:textId="77777777" w:rsidR="00D51839" w:rsidRDefault="00D51839" w:rsidP="00D51839">
      <w:pPr>
        <w:numPr>
          <w:ilvl w:val="0"/>
          <w:numId w:val="195"/>
        </w:numPr>
        <w:spacing w:after="0" w:line="240" w:lineRule="auto"/>
        <w:ind w:left="157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lastRenderedPageBreak/>
        <w:t>In the event that the Data Processor needs to process Personal Data of any data subject on behalf of the EIT UM, the Data Processor shall comply with the GDPR in the collection of any such data, including collecting  the data subjects express consent, where applicable  and if so instructed by EIT UM. Upon EIT UM requirement, the Data Processor shall use the consent form provided by EIT UM.</w:t>
      </w:r>
      <w:r w:rsidRPr="00ED36B4">
        <w:rPr>
          <w:rFonts w:eastAsia="Times New Roman" w:cs="Calibri Light"/>
          <w:color w:val="auto"/>
          <w:sz w:val="22"/>
          <w:lang w:eastAsia="en-GB"/>
        </w:rPr>
        <w:t> </w:t>
      </w:r>
    </w:p>
    <w:p w14:paraId="52B537BF" w14:textId="77777777" w:rsidR="00D51839" w:rsidRPr="00ED36B4" w:rsidRDefault="00D51839" w:rsidP="00D51839">
      <w:pPr>
        <w:spacing w:after="0" w:line="240" w:lineRule="auto"/>
        <w:ind w:left="1575"/>
        <w:jc w:val="both"/>
        <w:textAlignment w:val="baseline"/>
        <w:rPr>
          <w:rFonts w:eastAsia="Times New Roman" w:cs="Calibri Light"/>
          <w:color w:val="auto"/>
          <w:sz w:val="22"/>
          <w:lang w:eastAsia="en-GB"/>
        </w:rPr>
      </w:pPr>
    </w:p>
    <w:p w14:paraId="0D2880E4" w14:textId="77777777" w:rsidR="00D51839" w:rsidRDefault="00D51839" w:rsidP="00D51839">
      <w:pPr>
        <w:numPr>
          <w:ilvl w:val="0"/>
          <w:numId w:val="196"/>
        </w:numPr>
        <w:spacing w:after="0" w:line="240" w:lineRule="auto"/>
        <w:ind w:left="157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 xml:space="preserve">Describe the specifications of the processing: subject-matter, duration nature and purpose of the processing, the type of personal data, categories of data subjects and the subcontracted processing, according to </w:t>
      </w:r>
      <w:r w:rsidRPr="00ED36B4">
        <w:rPr>
          <w:rFonts w:eastAsia="Times New Roman" w:cs="Calibri Light"/>
          <w:b/>
          <w:bCs/>
          <w:color w:val="auto"/>
          <w:sz w:val="22"/>
          <w:lang w:val="hu-HU" w:eastAsia="en-GB"/>
        </w:rPr>
        <w:t>Exhibit A</w:t>
      </w:r>
      <w:r w:rsidRPr="00ED36B4">
        <w:rPr>
          <w:rFonts w:eastAsia="Times New Roman" w:cs="Calibri Light"/>
          <w:color w:val="auto"/>
          <w:sz w:val="22"/>
          <w:lang w:val="hu-HU" w:eastAsia="en-GB"/>
        </w:rPr>
        <w:t>.</w:t>
      </w:r>
      <w:r w:rsidRPr="00ED36B4">
        <w:rPr>
          <w:rFonts w:eastAsia="Times New Roman" w:cs="Calibri Light"/>
          <w:color w:val="auto"/>
          <w:sz w:val="22"/>
          <w:lang w:eastAsia="en-GB"/>
        </w:rPr>
        <w:t> </w:t>
      </w:r>
    </w:p>
    <w:p w14:paraId="65E570E2" w14:textId="77777777" w:rsidR="00D51839" w:rsidRPr="00ED36B4" w:rsidRDefault="00D51839" w:rsidP="00D51839">
      <w:pPr>
        <w:spacing w:after="0" w:line="240" w:lineRule="auto"/>
        <w:ind w:left="1575"/>
        <w:jc w:val="both"/>
        <w:textAlignment w:val="baseline"/>
        <w:rPr>
          <w:rFonts w:eastAsia="Times New Roman" w:cs="Calibri Light"/>
          <w:color w:val="auto"/>
          <w:sz w:val="22"/>
          <w:lang w:eastAsia="en-GB"/>
        </w:rPr>
      </w:pPr>
    </w:p>
    <w:p w14:paraId="2E2887F0" w14:textId="77777777" w:rsidR="00D51839" w:rsidRPr="00ED36B4" w:rsidRDefault="00D51839" w:rsidP="00D51839">
      <w:pPr>
        <w:numPr>
          <w:ilvl w:val="0"/>
          <w:numId w:val="197"/>
        </w:numPr>
        <w:spacing w:after="0" w:line="240" w:lineRule="auto"/>
        <w:ind w:left="157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If applicable, keep a written record of all categories of processing activities carried out on behalf of EIT UM according to art. 30.5 of the GDPR, containing:</w:t>
      </w:r>
      <w:r w:rsidRPr="00ED36B4">
        <w:rPr>
          <w:rFonts w:eastAsia="Times New Roman" w:cs="Calibri Light"/>
          <w:color w:val="auto"/>
          <w:sz w:val="22"/>
          <w:lang w:eastAsia="en-GB"/>
        </w:rPr>
        <w:t> </w:t>
      </w:r>
    </w:p>
    <w:p w14:paraId="63F3C300" w14:textId="77777777" w:rsidR="00D51839" w:rsidRPr="00ED36B4" w:rsidRDefault="00D51839" w:rsidP="00D51839">
      <w:pPr>
        <w:numPr>
          <w:ilvl w:val="0"/>
          <w:numId w:val="198"/>
        </w:numPr>
        <w:spacing w:after="0" w:line="240" w:lineRule="auto"/>
        <w:ind w:left="262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name and contact details of the Data Processor and sub-processors and each person in charge of the processing.</w:t>
      </w:r>
      <w:r w:rsidRPr="00ED36B4">
        <w:rPr>
          <w:rFonts w:eastAsia="Times New Roman" w:cs="Calibri Light"/>
          <w:color w:val="auto"/>
          <w:sz w:val="22"/>
          <w:lang w:eastAsia="en-GB"/>
        </w:rPr>
        <w:t> </w:t>
      </w:r>
    </w:p>
    <w:p w14:paraId="198CB56A" w14:textId="77777777" w:rsidR="00D51839" w:rsidRPr="00ED36B4" w:rsidRDefault="00D51839" w:rsidP="00D51839">
      <w:pPr>
        <w:numPr>
          <w:ilvl w:val="0"/>
          <w:numId w:val="199"/>
        </w:numPr>
        <w:spacing w:after="0" w:line="240" w:lineRule="auto"/>
        <w:ind w:left="262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categories of processing carried out on behalf of each responsible.</w:t>
      </w:r>
      <w:r w:rsidRPr="00ED36B4">
        <w:rPr>
          <w:rFonts w:eastAsia="Times New Roman" w:cs="Calibri Light"/>
          <w:color w:val="auto"/>
          <w:sz w:val="22"/>
          <w:lang w:eastAsia="en-GB"/>
        </w:rPr>
        <w:t> </w:t>
      </w:r>
    </w:p>
    <w:p w14:paraId="461851E3" w14:textId="77777777" w:rsidR="00D51839" w:rsidRPr="00ED36B4" w:rsidRDefault="00D51839" w:rsidP="00D51839">
      <w:pPr>
        <w:numPr>
          <w:ilvl w:val="0"/>
          <w:numId w:val="200"/>
        </w:numPr>
        <w:spacing w:after="0" w:line="240" w:lineRule="auto"/>
        <w:ind w:left="262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If applicable, transfers of Personal Data to a third country or international organisation, including the identification of that third party country or international organization and, in the case of transfers referred to in the second subparagraph of Article 49 (1) of the GDPR, the documentation of adequate guarantees.</w:t>
      </w:r>
      <w:r w:rsidRPr="00ED36B4">
        <w:rPr>
          <w:rFonts w:eastAsia="Times New Roman" w:cs="Calibri Light"/>
          <w:color w:val="auto"/>
          <w:sz w:val="22"/>
          <w:lang w:eastAsia="en-GB"/>
        </w:rPr>
        <w:t> </w:t>
      </w:r>
    </w:p>
    <w:p w14:paraId="2E0A5C04" w14:textId="77777777" w:rsidR="00D51839" w:rsidRPr="00ED36B4" w:rsidRDefault="00D51839" w:rsidP="00D51839">
      <w:pPr>
        <w:numPr>
          <w:ilvl w:val="0"/>
          <w:numId w:val="201"/>
        </w:numPr>
        <w:spacing w:after="0" w:line="240" w:lineRule="auto"/>
        <w:ind w:left="262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An overview of the technical and organizational measures of security relating to:</w:t>
      </w:r>
      <w:r w:rsidRPr="00ED36B4">
        <w:rPr>
          <w:rFonts w:eastAsia="Times New Roman" w:cs="Calibri Light"/>
          <w:color w:val="auto"/>
          <w:sz w:val="22"/>
          <w:lang w:eastAsia="en-GB"/>
        </w:rPr>
        <w:t> </w:t>
      </w:r>
    </w:p>
    <w:p w14:paraId="5E78C42B" w14:textId="77777777" w:rsidR="00D51839" w:rsidRPr="00ED36B4" w:rsidRDefault="00D51839" w:rsidP="00D51839">
      <w:pPr>
        <w:numPr>
          <w:ilvl w:val="0"/>
          <w:numId w:val="202"/>
        </w:numPr>
        <w:spacing w:after="0" w:line="240" w:lineRule="auto"/>
        <w:ind w:left="304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Pseudonymization and encryption of Personal Data.</w:t>
      </w:r>
      <w:r w:rsidRPr="00ED36B4">
        <w:rPr>
          <w:rFonts w:eastAsia="Times New Roman" w:cs="Calibri Light"/>
          <w:color w:val="auto"/>
          <w:sz w:val="22"/>
          <w:lang w:eastAsia="en-GB"/>
        </w:rPr>
        <w:t> </w:t>
      </w:r>
    </w:p>
    <w:p w14:paraId="5A0A80BC" w14:textId="77777777" w:rsidR="00D51839" w:rsidRPr="00ED36B4" w:rsidRDefault="00D51839" w:rsidP="00D51839">
      <w:pPr>
        <w:numPr>
          <w:ilvl w:val="0"/>
          <w:numId w:val="203"/>
        </w:numPr>
        <w:spacing w:after="0" w:line="240" w:lineRule="auto"/>
        <w:ind w:left="304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ability to ensure the permanent confidentiality, integrity, availability and resilience of processing systems and services.</w:t>
      </w:r>
      <w:r w:rsidRPr="00ED36B4">
        <w:rPr>
          <w:rFonts w:eastAsia="Times New Roman" w:cs="Calibri Light"/>
          <w:color w:val="auto"/>
          <w:sz w:val="22"/>
          <w:lang w:eastAsia="en-GB"/>
        </w:rPr>
        <w:t> </w:t>
      </w:r>
    </w:p>
    <w:p w14:paraId="5FF98157" w14:textId="77777777" w:rsidR="00D51839" w:rsidRPr="00ED36B4" w:rsidRDefault="00D51839" w:rsidP="00D51839">
      <w:pPr>
        <w:numPr>
          <w:ilvl w:val="0"/>
          <w:numId w:val="204"/>
        </w:numPr>
        <w:spacing w:after="0" w:line="240" w:lineRule="auto"/>
        <w:ind w:left="304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ability to restore availability and access to Personal Data quickly, in the event of a physical or technical incident.</w:t>
      </w:r>
      <w:r w:rsidRPr="00ED36B4">
        <w:rPr>
          <w:rFonts w:eastAsia="Times New Roman" w:cs="Calibri Light"/>
          <w:color w:val="auto"/>
          <w:sz w:val="22"/>
          <w:lang w:eastAsia="en-GB"/>
        </w:rPr>
        <w:t> </w:t>
      </w:r>
    </w:p>
    <w:p w14:paraId="01E3C6AB" w14:textId="77777777" w:rsidR="00D51839" w:rsidRDefault="00D51839" w:rsidP="00D51839">
      <w:pPr>
        <w:numPr>
          <w:ilvl w:val="0"/>
          <w:numId w:val="205"/>
        </w:numPr>
        <w:spacing w:after="0" w:line="240" w:lineRule="auto"/>
        <w:ind w:left="304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process of regular verification, evaluation, and valuation of the effectiveness of technical and organisational measures to guarantee the security of the treatment.</w:t>
      </w:r>
      <w:r w:rsidRPr="00ED36B4">
        <w:rPr>
          <w:rFonts w:eastAsia="Times New Roman" w:cs="Calibri Light"/>
          <w:color w:val="auto"/>
          <w:sz w:val="22"/>
          <w:lang w:eastAsia="en-GB"/>
        </w:rPr>
        <w:t> </w:t>
      </w:r>
    </w:p>
    <w:p w14:paraId="1A493C5B" w14:textId="77777777" w:rsidR="00D51839" w:rsidRPr="00ED36B4" w:rsidRDefault="00D51839" w:rsidP="00D51839">
      <w:pPr>
        <w:spacing w:after="0" w:line="240" w:lineRule="auto"/>
        <w:ind w:left="3045"/>
        <w:jc w:val="both"/>
        <w:textAlignment w:val="baseline"/>
        <w:rPr>
          <w:rFonts w:eastAsia="Times New Roman" w:cs="Calibri Light"/>
          <w:color w:val="auto"/>
          <w:sz w:val="22"/>
          <w:lang w:eastAsia="en-GB"/>
        </w:rPr>
      </w:pPr>
    </w:p>
    <w:p w14:paraId="069D2550" w14:textId="77777777" w:rsidR="00D51839" w:rsidRPr="00ED36B4" w:rsidRDefault="00D51839" w:rsidP="00D51839">
      <w:pPr>
        <w:numPr>
          <w:ilvl w:val="0"/>
          <w:numId w:val="206"/>
        </w:numPr>
        <w:spacing w:after="0" w:line="240" w:lineRule="auto"/>
        <w:ind w:left="157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Not to communicate the Personal Data to third parties, except with the express authorisation of the Data EIT UM, in the legally admissible cases.  </w:t>
      </w:r>
      <w:r w:rsidRPr="00ED36B4">
        <w:rPr>
          <w:rFonts w:eastAsia="Times New Roman" w:cs="Calibri Light"/>
          <w:color w:val="auto"/>
          <w:sz w:val="22"/>
          <w:lang w:eastAsia="en-GB"/>
        </w:rPr>
        <w:t> </w:t>
      </w:r>
    </w:p>
    <w:p w14:paraId="55AD25A9" w14:textId="77777777" w:rsidR="00D51839" w:rsidRDefault="00D51839" w:rsidP="00D51839">
      <w:pPr>
        <w:spacing w:after="0" w:line="240" w:lineRule="auto"/>
        <w:ind w:left="156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Data Processor may communicate the Personal Data to other processors of the same EIT UM, in accordance with EIT UM’s instructions.  In this case, EIT UM shall identify, in advance and in writing, the entity to which the data must be communicated, the data to be communicated and the security measures to be applied for the communication.</w:t>
      </w:r>
      <w:r w:rsidRPr="00ED36B4">
        <w:rPr>
          <w:rFonts w:eastAsia="Times New Roman" w:cs="Calibri Light"/>
          <w:color w:val="auto"/>
          <w:sz w:val="22"/>
          <w:lang w:eastAsia="en-GB"/>
        </w:rPr>
        <w:t> </w:t>
      </w:r>
    </w:p>
    <w:p w14:paraId="6E8A95B0"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p>
    <w:p w14:paraId="559D8436"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16E5EE73" w14:textId="77777777" w:rsidR="00D51839" w:rsidRPr="00ED36B4" w:rsidRDefault="00D51839" w:rsidP="00D51839">
      <w:pPr>
        <w:numPr>
          <w:ilvl w:val="0"/>
          <w:numId w:val="207"/>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Data Processor Personnel</w:t>
      </w:r>
      <w:r w:rsidRPr="00ED36B4">
        <w:rPr>
          <w:rFonts w:eastAsia="Times New Roman" w:cs="Calibri Light"/>
          <w:color w:val="2E74B5"/>
          <w:sz w:val="22"/>
          <w:lang w:eastAsia="en-GB"/>
        </w:rPr>
        <w:t> </w:t>
      </w:r>
    </w:p>
    <w:p w14:paraId="0DF97BA9" w14:textId="77777777" w:rsidR="00D51839" w:rsidRPr="00ED36B4" w:rsidRDefault="00D51839" w:rsidP="00D51839">
      <w:pPr>
        <w:spacing w:after="0" w:line="240" w:lineRule="auto"/>
        <w:ind w:left="135"/>
        <w:jc w:val="both"/>
        <w:textAlignment w:val="baseline"/>
        <w:rPr>
          <w:rFonts w:ascii="Segoe UI" w:eastAsia="Times New Roman" w:hAnsi="Segoe UI" w:cs="Segoe UI"/>
          <w:color w:val="auto"/>
          <w:sz w:val="18"/>
          <w:szCs w:val="18"/>
          <w:lang w:eastAsia="en-GB"/>
        </w:rPr>
      </w:pPr>
      <w:r w:rsidRPr="00ED36B4">
        <w:rPr>
          <w:rFonts w:eastAsia="Times New Roman" w:cs="Calibri Light"/>
          <w:color w:val="2E74B5"/>
          <w:sz w:val="22"/>
          <w:lang w:eastAsia="en-GB"/>
        </w:rPr>
        <w:t> </w:t>
      </w:r>
    </w:p>
    <w:p w14:paraId="3709B99E" w14:textId="77777777" w:rsidR="00D51839" w:rsidRDefault="00D51839" w:rsidP="00D51839">
      <w:pPr>
        <w:numPr>
          <w:ilvl w:val="0"/>
          <w:numId w:val="208"/>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 xml:space="preserve">The Data Processor shall take reasonable steps to ensure the reliability of any employee, agent or contractor of any sub-contracted processor who may have  access to EIT UM’s Personal Data, ensuring in each case that access is strictly limited to those individuals who need to know or access the relevant EIT UM’s Personal Data, as strictly necessary for the purposes of the </w:t>
      </w:r>
      <w:r w:rsidRPr="00ED36B4">
        <w:rPr>
          <w:rFonts w:eastAsia="Times New Roman" w:cs="Calibri Light"/>
          <w:color w:val="auto"/>
          <w:sz w:val="22"/>
          <w:lang w:val="hu-HU" w:eastAsia="en-GB"/>
        </w:rPr>
        <w:lastRenderedPageBreak/>
        <w:t>Agreement, and to comply with the applicable laws in the context of that individual's duties to the sub-processor, ensuring that all such individuals are subject to confidentiality undertakings or professional or statutory obligations of confidentiality.</w:t>
      </w:r>
      <w:r w:rsidRPr="00ED36B4">
        <w:rPr>
          <w:rFonts w:eastAsia="Times New Roman" w:cs="Calibri Light"/>
          <w:color w:val="auto"/>
          <w:sz w:val="22"/>
          <w:lang w:eastAsia="en-GB"/>
        </w:rPr>
        <w:t> </w:t>
      </w:r>
    </w:p>
    <w:p w14:paraId="0B22B739"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4DDBAA7F" w14:textId="77777777" w:rsidR="00D51839" w:rsidRPr="00A71F71" w:rsidRDefault="00D51839" w:rsidP="00D51839">
      <w:pPr>
        <w:numPr>
          <w:ilvl w:val="0"/>
          <w:numId w:val="209"/>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Security</w:t>
      </w:r>
      <w:r w:rsidRPr="00ED36B4">
        <w:rPr>
          <w:rFonts w:eastAsia="Times New Roman" w:cs="Calibri Light"/>
          <w:color w:val="2E74B5"/>
          <w:sz w:val="22"/>
          <w:lang w:eastAsia="en-GB"/>
        </w:rPr>
        <w:t> </w:t>
      </w:r>
    </w:p>
    <w:p w14:paraId="7F28AB17" w14:textId="77777777" w:rsidR="00D51839" w:rsidRPr="00ED36B4" w:rsidRDefault="00D51839" w:rsidP="00D51839">
      <w:pPr>
        <w:spacing w:after="0" w:line="240" w:lineRule="auto"/>
        <w:ind w:left="1425"/>
        <w:jc w:val="both"/>
        <w:textAlignment w:val="baseline"/>
        <w:rPr>
          <w:rFonts w:eastAsia="Times New Roman" w:cs="Calibri Light"/>
          <w:color w:val="auto"/>
          <w:sz w:val="22"/>
          <w:lang w:eastAsia="en-GB"/>
        </w:rPr>
      </w:pPr>
    </w:p>
    <w:p w14:paraId="56389335" w14:textId="77777777" w:rsidR="00D51839" w:rsidRDefault="00D51839" w:rsidP="00D51839">
      <w:pPr>
        <w:numPr>
          <w:ilvl w:val="0"/>
          <w:numId w:val="210"/>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Taking into account the state of the art, the costs of implementation and the nature, scope, context and purposes of the processing as well as the risk of varying likelihood and severity for the rights and freedoms of natural persons, the Data Processor shall in relation to EIT UM’s Personal Data implement appropriate technical and organizational measures to ensure a level of security appropriate to that risk, including, as appropriate, the measures referred to in Article 32(1) of the GDPR.</w:t>
      </w:r>
      <w:r w:rsidRPr="00ED36B4">
        <w:rPr>
          <w:rFonts w:eastAsia="Times New Roman" w:cs="Calibri Light"/>
          <w:color w:val="auto"/>
          <w:sz w:val="22"/>
          <w:lang w:eastAsia="en-GB"/>
        </w:rPr>
        <w:t> </w:t>
      </w:r>
    </w:p>
    <w:p w14:paraId="537429DA"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2A76629E" w14:textId="77777777" w:rsidR="00D51839" w:rsidRDefault="00D51839" w:rsidP="00D51839">
      <w:pPr>
        <w:numPr>
          <w:ilvl w:val="0"/>
          <w:numId w:val="211"/>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In assessing the appropriate level of security, Data Processor shall take account the risks that are presented by the processing, in particular from a Personal Data breach.</w:t>
      </w:r>
      <w:r w:rsidRPr="00ED36B4">
        <w:rPr>
          <w:rFonts w:eastAsia="Times New Roman" w:cs="Calibri Light"/>
          <w:color w:val="auto"/>
          <w:sz w:val="22"/>
          <w:lang w:eastAsia="en-GB"/>
        </w:rPr>
        <w:t> </w:t>
      </w:r>
    </w:p>
    <w:p w14:paraId="1AB219BF"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3D927FC4" w14:textId="77777777" w:rsidR="00D51839" w:rsidRPr="00ED36B4" w:rsidRDefault="00D51839" w:rsidP="00D51839">
      <w:pPr>
        <w:numPr>
          <w:ilvl w:val="0"/>
          <w:numId w:val="212"/>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In any case, the Data Processor shall implement mechanisms to:</w:t>
      </w:r>
      <w:r w:rsidRPr="00ED36B4">
        <w:rPr>
          <w:rFonts w:eastAsia="Times New Roman" w:cs="Calibri Light"/>
          <w:color w:val="auto"/>
          <w:sz w:val="22"/>
          <w:lang w:eastAsia="en-GB"/>
        </w:rPr>
        <w:t> </w:t>
      </w:r>
    </w:p>
    <w:p w14:paraId="383C51B4" w14:textId="77777777" w:rsidR="00D51839" w:rsidRPr="00ED36B4" w:rsidRDefault="00D51839" w:rsidP="00D51839">
      <w:pPr>
        <w:numPr>
          <w:ilvl w:val="0"/>
          <w:numId w:val="213"/>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Ensure the continued confidentiality, integrity, availability and resilience of processing systems and services.</w:t>
      </w:r>
      <w:r w:rsidRPr="00ED36B4">
        <w:rPr>
          <w:rFonts w:eastAsia="Times New Roman" w:cs="Calibri Light"/>
          <w:color w:val="auto"/>
          <w:sz w:val="22"/>
          <w:lang w:eastAsia="en-GB"/>
        </w:rPr>
        <w:t> </w:t>
      </w:r>
    </w:p>
    <w:p w14:paraId="7D173583" w14:textId="77777777" w:rsidR="00D51839" w:rsidRPr="00ED36B4" w:rsidRDefault="00D51839" w:rsidP="00D51839">
      <w:pPr>
        <w:numPr>
          <w:ilvl w:val="0"/>
          <w:numId w:val="214"/>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Restore availability and access to Personal Data in a timely manner in the event of a physical or technical incident.</w:t>
      </w:r>
      <w:r w:rsidRPr="00ED36B4">
        <w:rPr>
          <w:rFonts w:eastAsia="Times New Roman" w:cs="Calibri Light"/>
          <w:color w:val="auto"/>
          <w:sz w:val="22"/>
          <w:lang w:eastAsia="en-GB"/>
        </w:rPr>
        <w:t> </w:t>
      </w:r>
    </w:p>
    <w:p w14:paraId="7E6CDB98" w14:textId="77777777" w:rsidR="00D51839" w:rsidRPr="00ED36B4" w:rsidRDefault="00D51839" w:rsidP="00D51839">
      <w:pPr>
        <w:numPr>
          <w:ilvl w:val="0"/>
          <w:numId w:val="215"/>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Verify, evaluate and assess, on a regular basis, the effectiveness of the technical and organizational measures in place to the security of the processing. </w:t>
      </w:r>
      <w:r w:rsidRPr="00ED36B4">
        <w:rPr>
          <w:rFonts w:eastAsia="Times New Roman" w:cs="Calibri Light"/>
          <w:color w:val="auto"/>
          <w:sz w:val="22"/>
          <w:lang w:eastAsia="en-GB"/>
        </w:rPr>
        <w:t> </w:t>
      </w:r>
    </w:p>
    <w:p w14:paraId="313163E9" w14:textId="77777777" w:rsidR="00D51839" w:rsidRPr="00ED36B4" w:rsidRDefault="00D51839" w:rsidP="00D51839">
      <w:pPr>
        <w:numPr>
          <w:ilvl w:val="0"/>
          <w:numId w:val="216"/>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Pseudonymize and encrypt Personal Data, where appropriate.</w:t>
      </w:r>
      <w:r w:rsidRPr="00ED36B4">
        <w:rPr>
          <w:rFonts w:eastAsia="Times New Roman" w:cs="Calibri Light"/>
          <w:color w:val="auto"/>
          <w:sz w:val="22"/>
          <w:lang w:eastAsia="en-GB"/>
        </w:rPr>
        <w:t> </w:t>
      </w:r>
    </w:p>
    <w:p w14:paraId="4ED2A7B4" w14:textId="77777777" w:rsidR="00D51839" w:rsidRDefault="00D51839" w:rsidP="00D51839">
      <w:pPr>
        <w:numPr>
          <w:ilvl w:val="0"/>
          <w:numId w:val="217"/>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Designate a data protection officer and communicate his/her identity and contact details to the EIT UM, where appropriate.</w:t>
      </w:r>
      <w:r w:rsidRPr="00ED36B4">
        <w:rPr>
          <w:rFonts w:eastAsia="Times New Roman" w:cs="Calibri Light"/>
          <w:color w:val="auto"/>
          <w:sz w:val="22"/>
          <w:lang w:eastAsia="en-GB"/>
        </w:rPr>
        <w:t> </w:t>
      </w:r>
    </w:p>
    <w:p w14:paraId="027877DD" w14:textId="77777777" w:rsidR="00D51839" w:rsidRPr="00ED36B4" w:rsidRDefault="00D51839" w:rsidP="00D51839">
      <w:pPr>
        <w:spacing w:after="0" w:line="240" w:lineRule="auto"/>
        <w:ind w:left="1905"/>
        <w:jc w:val="both"/>
        <w:textAlignment w:val="baseline"/>
        <w:rPr>
          <w:rFonts w:eastAsia="Times New Roman" w:cs="Calibri Light"/>
          <w:color w:val="auto"/>
          <w:sz w:val="22"/>
          <w:lang w:eastAsia="en-GB"/>
        </w:rPr>
      </w:pPr>
    </w:p>
    <w:p w14:paraId="629B1A19" w14:textId="77777777" w:rsidR="00D51839" w:rsidRPr="00A71F71" w:rsidRDefault="00D51839" w:rsidP="00D51839">
      <w:pPr>
        <w:numPr>
          <w:ilvl w:val="0"/>
          <w:numId w:val="218"/>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Outsourcing</w:t>
      </w:r>
      <w:r w:rsidRPr="00ED36B4">
        <w:rPr>
          <w:rFonts w:eastAsia="Times New Roman" w:cs="Calibri Light"/>
          <w:color w:val="2E74B5"/>
          <w:sz w:val="22"/>
          <w:lang w:eastAsia="en-GB"/>
        </w:rPr>
        <w:t> </w:t>
      </w:r>
    </w:p>
    <w:p w14:paraId="73450F7E" w14:textId="77777777" w:rsidR="00D51839" w:rsidRPr="00ED36B4" w:rsidRDefault="00D51839" w:rsidP="00D51839">
      <w:pPr>
        <w:spacing w:after="0" w:line="240" w:lineRule="auto"/>
        <w:ind w:left="1425"/>
        <w:jc w:val="both"/>
        <w:textAlignment w:val="baseline"/>
        <w:rPr>
          <w:rFonts w:eastAsia="Times New Roman" w:cs="Calibri Light"/>
          <w:color w:val="auto"/>
          <w:sz w:val="22"/>
          <w:lang w:eastAsia="en-GB"/>
        </w:rPr>
      </w:pPr>
    </w:p>
    <w:p w14:paraId="3B704085" w14:textId="77777777" w:rsidR="00D51839" w:rsidRDefault="00D51839" w:rsidP="00D51839">
      <w:pPr>
        <w:numPr>
          <w:ilvl w:val="0"/>
          <w:numId w:val="219"/>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Data Processor shall not outsource the provision of any of the services to be performed under this Data Processing Agreement which involve the processing of Personal Data, except for ancillary services needed for the normal operation of the Data Processor’s services.</w:t>
      </w:r>
      <w:r w:rsidRPr="00ED36B4">
        <w:rPr>
          <w:rFonts w:eastAsia="Times New Roman" w:cs="Calibri Light"/>
          <w:color w:val="auto"/>
          <w:sz w:val="22"/>
          <w:lang w:eastAsia="en-GB"/>
        </w:rPr>
        <w:t> </w:t>
      </w:r>
    </w:p>
    <w:p w14:paraId="5C680FF2"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1F38AAC1" w14:textId="77777777" w:rsidR="00D51839" w:rsidRDefault="00D51839" w:rsidP="00D51839">
      <w:pPr>
        <w:numPr>
          <w:ilvl w:val="0"/>
          <w:numId w:val="220"/>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When it is necessary to outsource any processing, EIT UM shall be informed by written means of this fact in writing 15 days in advance, and receive an indication of the processing that is intended to be outsourced and identify clearly and unambiguously the subcontractor and its contact details. The outsourcing may be undertaken only if the EIT UM approves it.</w:t>
      </w:r>
      <w:r w:rsidRPr="00ED36B4">
        <w:rPr>
          <w:rFonts w:eastAsia="Times New Roman" w:cs="Calibri Light"/>
          <w:color w:val="auto"/>
          <w:sz w:val="22"/>
          <w:lang w:eastAsia="en-GB"/>
        </w:rPr>
        <w:t> </w:t>
      </w:r>
    </w:p>
    <w:p w14:paraId="5BFB80E8"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5A8D3978" w14:textId="77777777" w:rsidR="00D51839" w:rsidRDefault="00D51839" w:rsidP="00D51839">
      <w:pPr>
        <w:numPr>
          <w:ilvl w:val="0"/>
          <w:numId w:val="221"/>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 xml:space="preserve">The subcontractor, who will also be a processor, shall be obliged to comply with the Data Processor's obligations under this Data Processing Agreement and with any instructions issued by the EIT UM. It is the Data Processor’s responsibility to regulate the new relationship so that the subcontractor may be subject to the same conditions (instructions, obligations, security measures, etc.) and the same formal requirements as the Data Processor regarding the proper processing of Personal Data and the safeguarding of the rights of data subjects. In the event of </w:t>
      </w:r>
      <w:r w:rsidRPr="00ED36B4">
        <w:rPr>
          <w:rFonts w:eastAsia="Times New Roman" w:cs="Calibri Light"/>
          <w:color w:val="auto"/>
          <w:sz w:val="22"/>
          <w:lang w:val="hu-HU" w:eastAsia="en-GB"/>
        </w:rPr>
        <w:lastRenderedPageBreak/>
        <w:t>non-compliance on the part of the subcontractor, the Data Processor will remain fully liable to the EIT UM.</w:t>
      </w:r>
      <w:r w:rsidRPr="00ED36B4">
        <w:rPr>
          <w:rFonts w:eastAsia="Times New Roman" w:cs="Calibri Light"/>
          <w:color w:val="auto"/>
          <w:sz w:val="22"/>
          <w:lang w:eastAsia="en-GB"/>
        </w:rPr>
        <w:t> </w:t>
      </w:r>
    </w:p>
    <w:p w14:paraId="76E28DBA"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6C64104E" w14:textId="77777777" w:rsidR="00D51839" w:rsidRPr="00A71F71" w:rsidRDefault="00D51839" w:rsidP="00D51839">
      <w:pPr>
        <w:numPr>
          <w:ilvl w:val="0"/>
          <w:numId w:val="222"/>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Data Subject Rights</w:t>
      </w:r>
      <w:r w:rsidRPr="00ED36B4">
        <w:rPr>
          <w:rFonts w:eastAsia="Times New Roman" w:cs="Calibri Light"/>
          <w:color w:val="2E74B5"/>
          <w:sz w:val="22"/>
          <w:lang w:eastAsia="en-GB"/>
        </w:rPr>
        <w:t> </w:t>
      </w:r>
    </w:p>
    <w:p w14:paraId="55D2645D" w14:textId="77777777" w:rsidR="00D51839" w:rsidRPr="00ED36B4" w:rsidRDefault="00D51839" w:rsidP="00D51839">
      <w:pPr>
        <w:spacing w:after="0" w:line="240" w:lineRule="auto"/>
        <w:ind w:left="1425"/>
        <w:jc w:val="both"/>
        <w:textAlignment w:val="baseline"/>
        <w:rPr>
          <w:rFonts w:eastAsia="Times New Roman" w:cs="Calibri Light"/>
          <w:color w:val="auto"/>
          <w:sz w:val="22"/>
          <w:lang w:eastAsia="en-GB"/>
        </w:rPr>
      </w:pPr>
    </w:p>
    <w:p w14:paraId="03613083" w14:textId="77777777" w:rsidR="00D51839" w:rsidRPr="00ED36B4" w:rsidRDefault="00D51839" w:rsidP="00D51839">
      <w:pPr>
        <w:numPr>
          <w:ilvl w:val="0"/>
          <w:numId w:val="223"/>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Taking into account the nature of the processing, the Data Processor shall assist EIT UM by implementing appropriate technical and organizational measures, in so far as this is possible, for the fulfilment of EIT UM’s obligations, as reasonably understood by EIT UM, in responding to the exercise of the rights of:</w:t>
      </w:r>
      <w:r w:rsidRPr="00ED36B4">
        <w:rPr>
          <w:rFonts w:eastAsia="Times New Roman" w:cs="Calibri Light"/>
          <w:color w:val="auto"/>
          <w:sz w:val="22"/>
          <w:lang w:eastAsia="en-GB"/>
        </w:rPr>
        <w:t> </w:t>
      </w:r>
    </w:p>
    <w:p w14:paraId="428EB435" w14:textId="77777777" w:rsidR="00D51839" w:rsidRPr="00ED36B4" w:rsidRDefault="00D51839" w:rsidP="00D51839">
      <w:pPr>
        <w:numPr>
          <w:ilvl w:val="0"/>
          <w:numId w:val="224"/>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Access, rectification, erasure and objection.</w:t>
      </w:r>
      <w:r w:rsidRPr="00ED36B4">
        <w:rPr>
          <w:rFonts w:eastAsia="Times New Roman" w:cs="Calibri Light"/>
          <w:color w:val="auto"/>
          <w:sz w:val="22"/>
          <w:lang w:eastAsia="en-GB"/>
        </w:rPr>
        <w:t> </w:t>
      </w:r>
    </w:p>
    <w:p w14:paraId="77A42BF1" w14:textId="77777777" w:rsidR="00D51839" w:rsidRPr="00ED36B4" w:rsidRDefault="00D51839" w:rsidP="00D51839">
      <w:pPr>
        <w:numPr>
          <w:ilvl w:val="0"/>
          <w:numId w:val="225"/>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Limitation of processing</w:t>
      </w:r>
      <w:r w:rsidRPr="00ED36B4">
        <w:rPr>
          <w:rFonts w:eastAsia="Times New Roman" w:cs="Calibri Light"/>
          <w:color w:val="auto"/>
          <w:sz w:val="22"/>
          <w:lang w:eastAsia="en-GB"/>
        </w:rPr>
        <w:t> </w:t>
      </w:r>
    </w:p>
    <w:p w14:paraId="7036C2D2" w14:textId="77777777" w:rsidR="00D51839" w:rsidRPr="00ED36B4" w:rsidRDefault="00D51839" w:rsidP="00D51839">
      <w:pPr>
        <w:numPr>
          <w:ilvl w:val="0"/>
          <w:numId w:val="226"/>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Data portability</w:t>
      </w:r>
      <w:r w:rsidRPr="00ED36B4">
        <w:rPr>
          <w:rFonts w:eastAsia="Times New Roman" w:cs="Calibri Light"/>
          <w:color w:val="auto"/>
          <w:sz w:val="22"/>
          <w:lang w:eastAsia="en-GB"/>
        </w:rPr>
        <w:t> </w:t>
      </w:r>
    </w:p>
    <w:p w14:paraId="7FDCDF4E" w14:textId="77777777" w:rsidR="00D51839" w:rsidRDefault="00D51839" w:rsidP="00D51839">
      <w:pPr>
        <w:numPr>
          <w:ilvl w:val="0"/>
          <w:numId w:val="227"/>
        </w:numPr>
        <w:spacing w:after="0" w:line="240" w:lineRule="auto"/>
        <w:ind w:left="19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Not to be subject to automated individualized decisions (including profiling).</w:t>
      </w:r>
      <w:r w:rsidRPr="00ED36B4">
        <w:rPr>
          <w:rFonts w:eastAsia="Times New Roman" w:cs="Calibri Light"/>
          <w:color w:val="auto"/>
          <w:sz w:val="22"/>
          <w:lang w:eastAsia="en-GB"/>
        </w:rPr>
        <w:t> </w:t>
      </w:r>
    </w:p>
    <w:p w14:paraId="576FBEA0" w14:textId="77777777" w:rsidR="00D51839" w:rsidRPr="00ED36B4" w:rsidRDefault="00D51839" w:rsidP="00D51839">
      <w:pPr>
        <w:spacing w:after="0" w:line="240" w:lineRule="auto"/>
        <w:ind w:left="1905"/>
        <w:jc w:val="both"/>
        <w:textAlignment w:val="baseline"/>
        <w:rPr>
          <w:rFonts w:eastAsia="Times New Roman" w:cs="Calibri Light"/>
          <w:color w:val="auto"/>
          <w:sz w:val="22"/>
          <w:lang w:eastAsia="en-GB"/>
        </w:rPr>
      </w:pPr>
    </w:p>
    <w:p w14:paraId="74F0F3BD" w14:textId="77777777" w:rsidR="00D51839" w:rsidRPr="00ED36B4" w:rsidRDefault="00D51839" w:rsidP="00D51839">
      <w:pPr>
        <w:numPr>
          <w:ilvl w:val="0"/>
          <w:numId w:val="228"/>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When the data subjects exercise their rights, the Data Processor must communicate this by e-mail to the address indicated by EIT UM. The communication must be made immediately and in no case later than the working day following receipt of the request, together, where appropriate, with other information that may be relevant for resolving the request.</w:t>
      </w:r>
      <w:r w:rsidRPr="00ED36B4">
        <w:rPr>
          <w:rFonts w:eastAsia="Times New Roman" w:cs="Calibri Light"/>
          <w:color w:val="auto"/>
          <w:sz w:val="22"/>
          <w:lang w:eastAsia="en-GB"/>
        </w:rPr>
        <w:t> </w:t>
      </w:r>
    </w:p>
    <w:p w14:paraId="5AC37DEA" w14:textId="77777777" w:rsidR="00D51839" w:rsidRPr="00ED36B4" w:rsidRDefault="00D51839" w:rsidP="00D51839">
      <w:pPr>
        <w:spacing w:after="0" w:line="240" w:lineRule="auto"/>
        <w:ind w:left="825" w:right="120"/>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18C25559" w14:textId="77777777" w:rsidR="00D51839" w:rsidRPr="00ED36B4" w:rsidRDefault="00D51839" w:rsidP="00D51839">
      <w:pPr>
        <w:numPr>
          <w:ilvl w:val="0"/>
          <w:numId w:val="229"/>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Personal Data Breach</w:t>
      </w:r>
      <w:r w:rsidRPr="00ED36B4">
        <w:rPr>
          <w:rFonts w:eastAsia="Times New Roman" w:cs="Calibri Light"/>
          <w:color w:val="2E74B5"/>
          <w:sz w:val="22"/>
          <w:lang w:eastAsia="en-GB"/>
        </w:rPr>
        <w:t> </w:t>
      </w:r>
    </w:p>
    <w:p w14:paraId="7250FAEA" w14:textId="77777777" w:rsidR="00D51839" w:rsidRPr="00ED36B4" w:rsidRDefault="00D51839" w:rsidP="00D51839">
      <w:pPr>
        <w:spacing w:after="0" w:line="240" w:lineRule="auto"/>
        <w:ind w:left="135"/>
        <w:jc w:val="both"/>
        <w:textAlignment w:val="baseline"/>
        <w:rPr>
          <w:rFonts w:ascii="Segoe UI" w:eastAsia="Times New Roman" w:hAnsi="Segoe UI" w:cs="Segoe UI"/>
          <w:color w:val="auto"/>
          <w:sz w:val="18"/>
          <w:szCs w:val="18"/>
          <w:lang w:eastAsia="en-GB"/>
        </w:rPr>
      </w:pPr>
      <w:r w:rsidRPr="00ED36B4">
        <w:rPr>
          <w:rFonts w:eastAsia="Times New Roman" w:cs="Calibri Light"/>
          <w:color w:val="2E74B5"/>
          <w:sz w:val="22"/>
          <w:lang w:eastAsia="en-GB"/>
        </w:rPr>
        <w:t> </w:t>
      </w:r>
    </w:p>
    <w:p w14:paraId="27B6DD11" w14:textId="77777777" w:rsidR="00D51839" w:rsidRPr="00ED36B4" w:rsidRDefault="00D51839" w:rsidP="00D51839">
      <w:pPr>
        <w:numPr>
          <w:ilvl w:val="0"/>
          <w:numId w:val="230"/>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Data Processor shall notify EIT UM without undue delay upon becoming aware of a Personal Data breach affecting EIT UM’s Personal Data, providing EIT UM with sufficient information to allow EIT UM  to meet any obligations to report or inform data subjects of the Personal Data breach under the data protection laws.</w:t>
      </w:r>
      <w:r w:rsidRPr="00ED36B4">
        <w:rPr>
          <w:rFonts w:eastAsia="Times New Roman" w:cs="Calibri Light"/>
          <w:color w:val="auto"/>
          <w:sz w:val="22"/>
          <w:lang w:eastAsia="en-GB"/>
        </w:rPr>
        <w:t> </w:t>
      </w:r>
    </w:p>
    <w:p w14:paraId="2D4BAAF8" w14:textId="77777777" w:rsidR="00D51839" w:rsidRPr="00ED36B4" w:rsidRDefault="00D51839" w:rsidP="00D51839">
      <w:pPr>
        <w:spacing w:after="0" w:line="240" w:lineRule="auto"/>
        <w:ind w:left="150" w:right="13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4AEAC51C" w14:textId="77777777" w:rsidR="00D51839" w:rsidRPr="00ED36B4" w:rsidRDefault="00D51839" w:rsidP="00D51839">
      <w:pPr>
        <w:numPr>
          <w:ilvl w:val="0"/>
          <w:numId w:val="231"/>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Data Processor shall co-operate with EIT UM and take reasonable commercial steps as are directed by EIT UM to assist in the investigation, mitigation and remediation of each such Personal Data breach.</w:t>
      </w:r>
      <w:r w:rsidRPr="00ED36B4">
        <w:rPr>
          <w:rFonts w:eastAsia="Times New Roman" w:cs="Calibri Light"/>
          <w:color w:val="auto"/>
          <w:sz w:val="22"/>
          <w:lang w:eastAsia="en-GB"/>
        </w:rPr>
        <w:t> </w:t>
      </w:r>
    </w:p>
    <w:p w14:paraId="2B9894EC" w14:textId="77777777" w:rsidR="00D51839" w:rsidRPr="00ED36B4" w:rsidRDefault="00D51839" w:rsidP="00D51839">
      <w:pPr>
        <w:spacing w:after="0" w:line="240" w:lineRule="auto"/>
        <w:ind w:left="825" w:right="120"/>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1795DBBB" w14:textId="77777777" w:rsidR="00D51839" w:rsidRPr="00ED36B4" w:rsidRDefault="00D51839" w:rsidP="00D51839">
      <w:pPr>
        <w:numPr>
          <w:ilvl w:val="0"/>
          <w:numId w:val="232"/>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If available, the following information, as a minimum, shall be provided:</w:t>
      </w:r>
      <w:r w:rsidRPr="00ED36B4">
        <w:rPr>
          <w:rFonts w:eastAsia="Times New Roman" w:cs="Calibri Light"/>
          <w:color w:val="auto"/>
          <w:sz w:val="22"/>
          <w:lang w:eastAsia="en-GB"/>
        </w:rPr>
        <w:t> </w:t>
      </w:r>
    </w:p>
    <w:p w14:paraId="6B1B5F09" w14:textId="77777777" w:rsidR="00D51839" w:rsidRPr="00ED36B4" w:rsidRDefault="00D51839" w:rsidP="00D51839">
      <w:pPr>
        <w:numPr>
          <w:ilvl w:val="0"/>
          <w:numId w:val="233"/>
        </w:numPr>
        <w:spacing w:after="0" w:line="240" w:lineRule="auto"/>
        <w:ind w:left="163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Description of the nature of the Personal Data breach, including, where possible, the categories and approximate number of data subjects affected;</w:t>
      </w:r>
      <w:r w:rsidRPr="00ED36B4">
        <w:rPr>
          <w:rFonts w:eastAsia="Times New Roman" w:cs="Calibri Light"/>
          <w:color w:val="auto"/>
          <w:sz w:val="22"/>
          <w:lang w:eastAsia="en-GB"/>
        </w:rPr>
        <w:t> </w:t>
      </w:r>
    </w:p>
    <w:p w14:paraId="1419CEC3" w14:textId="77777777" w:rsidR="00D51839" w:rsidRPr="00ED36B4" w:rsidRDefault="00D51839" w:rsidP="00D51839">
      <w:pPr>
        <w:numPr>
          <w:ilvl w:val="0"/>
          <w:numId w:val="234"/>
        </w:numPr>
        <w:spacing w:after="0" w:line="240" w:lineRule="auto"/>
        <w:ind w:left="163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name and contact details of the data protection officer or other point of contact from whom further information may be obtained;</w:t>
      </w:r>
      <w:r w:rsidRPr="00ED36B4">
        <w:rPr>
          <w:rFonts w:eastAsia="Times New Roman" w:cs="Calibri Light"/>
          <w:color w:val="auto"/>
          <w:sz w:val="22"/>
          <w:lang w:eastAsia="en-GB"/>
        </w:rPr>
        <w:t> </w:t>
      </w:r>
    </w:p>
    <w:p w14:paraId="3D1DD74C" w14:textId="77777777" w:rsidR="00D51839" w:rsidRPr="00ED36B4" w:rsidRDefault="00D51839" w:rsidP="00D51839">
      <w:pPr>
        <w:numPr>
          <w:ilvl w:val="0"/>
          <w:numId w:val="235"/>
        </w:numPr>
        <w:spacing w:after="0" w:line="240" w:lineRule="auto"/>
        <w:ind w:left="163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Description of the possible consequences of the Personal Data breach;</w:t>
      </w:r>
      <w:r w:rsidRPr="00ED36B4">
        <w:rPr>
          <w:rFonts w:eastAsia="Times New Roman" w:cs="Calibri Light"/>
          <w:color w:val="auto"/>
          <w:sz w:val="22"/>
          <w:lang w:eastAsia="en-GB"/>
        </w:rPr>
        <w:t> </w:t>
      </w:r>
    </w:p>
    <w:p w14:paraId="3CD94AE3" w14:textId="77777777" w:rsidR="00D51839" w:rsidRDefault="00D51839" w:rsidP="00D51839">
      <w:pPr>
        <w:numPr>
          <w:ilvl w:val="0"/>
          <w:numId w:val="236"/>
        </w:numPr>
        <w:spacing w:after="0" w:line="240" w:lineRule="auto"/>
        <w:ind w:left="163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Description of the measures taken or proposed to be taken to remedy the Personal Data breach, including, where appropriate, the measures to mitigate the possible negative effects;</w:t>
      </w:r>
      <w:r w:rsidRPr="00ED36B4">
        <w:rPr>
          <w:rFonts w:eastAsia="Times New Roman" w:cs="Calibri Light"/>
          <w:color w:val="auto"/>
          <w:sz w:val="22"/>
          <w:lang w:eastAsia="en-GB"/>
        </w:rPr>
        <w:t> </w:t>
      </w:r>
    </w:p>
    <w:p w14:paraId="771ABCDB" w14:textId="77777777" w:rsidR="00D51839" w:rsidRPr="00ED36B4" w:rsidRDefault="00D51839" w:rsidP="00D51839">
      <w:pPr>
        <w:spacing w:after="0" w:line="240" w:lineRule="auto"/>
        <w:ind w:left="1635"/>
        <w:jc w:val="both"/>
        <w:textAlignment w:val="baseline"/>
        <w:rPr>
          <w:rFonts w:eastAsia="Times New Roman" w:cs="Calibri Light"/>
          <w:color w:val="auto"/>
          <w:sz w:val="22"/>
          <w:lang w:eastAsia="en-GB"/>
        </w:rPr>
      </w:pPr>
    </w:p>
    <w:p w14:paraId="57CC07F5" w14:textId="77777777" w:rsidR="00D51839" w:rsidRDefault="00D51839" w:rsidP="00D51839">
      <w:pPr>
        <w:spacing w:after="0" w:line="240" w:lineRule="auto"/>
        <w:ind w:left="915"/>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If and to the extent that it is not possible to provide the information at the same time, the information shall be provided in a phased manner without undue delay.</w:t>
      </w:r>
      <w:r w:rsidRPr="00ED36B4">
        <w:rPr>
          <w:rFonts w:eastAsia="Times New Roman" w:cs="Calibri Light"/>
          <w:color w:val="auto"/>
          <w:sz w:val="22"/>
          <w:lang w:eastAsia="en-GB"/>
        </w:rPr>
        <w:t> </w:t>
      </w:r>
    </w:p>
    <w:p w14:paraId="495A1925" w14:textId="77777777" w:rsidR="00D51839" w:rsidRPr="00ED36B4" w:rsidRDefault="00D51839" w:rsidP="00D51839">
      <w:pPr>
        <w:spacing w:after="0" w:line="240" w:lineRule="auto"/>
        <w:ind w:left="915"/>
        <w:jc w:val="both"/>
        <w:textAlignment w:val="baseline"/>
        <w:rPr>
          <w:rFonts w:ascii="Segoe UI" w:eastAsia="Times New Roman" w:hAnsi="Segoe UI" w:cs="Segoe UI"/>
          <w:color w:val="auto"/>
          <w:sz w:val="18"/>
          <w:szCs w:val="18"/>
          <w:lang w:eastAsia="en-GB"/>
        </w:rPr>
      </w:pPr>
    </w:p>
    <w:p w14:paraId="208383CC" w14:textId="77777777" w:rsidR="00D51839" w:rsidRPr="00ED36B4" w:rsidRDefault="00D51839" w:rsidP="00D51839">
      <w:pPr>
        <w:numPr>
          <w:ilvl w:val="0"/>
          <w:numId w:val="237"/>
        </w:numPr>
        <w:spacing w:after="0" w:line="240" w:lineRule="auto"/>
        <w:ind w:left="855" w:firstLine="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Data Protection Impact Assessment and Prior Consultation</w:t>
      </w:r>
      <w:r w:rsidRPr="00ED36B4">
        <w:rPr>
          <w:rFonts w:eastAsia="Times New Roman" w:cs="Calibri Light"/>
          <w:color w:val="2E74B5"/>
          <w:sz w:val="22"/>
          <w:lang w:eastAsia="en-GB"/>
        </w:rPr>
        <w:t> </w:t>
      </w:r>
    </w:p>
    <w:p w14:paraId="7063FD67" w14:textId="77777777" w:rsidR="00D51839" w:rsidRPr="00ED36B4" w:rsidRDefault="00D51839" w:rsidP="00D51839">
      <w:pPr>
        <w:spacing w:after="0" w:line="240" w:lineRule="auto"/>
        <w:ind w:left="840"/>
        <w:jc w:val="both"/>
        <w:textAlignment w:val="baseline"/>
        <w:rPr>
          <w:rFonts w:ascii="Segoe UI" w:eastAsia="Times New Roman" w:hAnsi="Segoe UI" w:cs="Segoe UI"/>
          <w:color w:val="auto"/>
          <w:sz w:val="18"/>
          <w:szCs w:val="18"/>
          <w:lang w:eastAsia="en-GB"/>
        </w:rPr>
      </w:pPr>
      <w:r w:rsidRPr="00ED36B4">
        <w:rPr>
          <w:rFonts w:eastAsia="Times New Roman" w:cs="Calibri Light"/>
          <w:color w:val="2E74B5"/>
          <w:sz w:val="22"/>
          <w:lang w:eastAsia="en-GB"/>
        </w:rPr>
        <w:t> </w:t>
      </w:r>
    </w:p>
    <w:p w14:paraId="46FD3F85" w14:textId="77777777" w:rsidR="00D51839" w:rsidRDefault="00D51839" w:rsidP="00D51839">
      <w:pPr>
        <w:numPr>
          <w:ilvl w:val="0"/>
          <w:numId w:val="238"/>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lastRenderedPageBreak/>
        <w:t>The Data Processor shall provide reasonable assistance to EIT UM with any data protection impact assessments, and prior consultations with supervising authorities or other competent data privacy authorities, which  EIT UM reasonably considers to be required by article 35 or 36 of the GDPR or equivalent provisions of any other data protection law, in each case solely in relation to processing of EIT UM’s Personal Data by, and taking into account the nature of the processing and information available  to the subcontractors.</w:t>
      </w:r>
      <w:r w:rsidRPr="00ED36B4">
        <w:rPr>
          <w:rFonts w:eastAsia="Times New Roman" w:cs="Calibri Light"/>
          <w:color w:val="auto"/>
          <w:sz w:val="22"/>
          <w:lang w:eastAsia="en-GB"/>
        </w:rPr>
        <w:t> </w:t>
      </w:r>
    </w:p>
    <w:p w14:paraId="7C7AA8C1"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08A8F358" w14:textId="77777777" w:rsidR="00D51839" w:rsidRPr="00A71F71" w:rsidRDefault="00D51839" w:rsidP="00D51839">
      <w:pPr>
        <w:numPr>
          <w:ilvl w:val="0"/>
          <w:numId w:val="239"/>
        </w:numPr>
        <w:spacing w:after="0" w:line="240" w:lineRule="auto"/>
        <w:ind w:left="855" w:firstLine="57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  Deletion or return of EIT UM’s Personal Data</w:t>
      </w:r>
      <w:r w:rsidRPr="00ED36B4">
        <w:rPr>
          <w:rFonts w:eastAsia="Times New Roman" w:cs="Calibri Light"/>
          <w:color w:val="2E74B5"/>
          <w:sz w:val="22"/>
          <w:lang w:eastAsia="en-GB"/>
        </w:rPr>
        <w:t> </w:t>
      </w:r>
    </w:p>
    <w:p w14:paraId="548C3AEE" w14:textId="77777777" w:rsidR="00D51839" w:rsidRPr="00ED36B4" w:rsidRDefault="00D51839" w:rsidP="00D51839">
      <w:pPr>
        <w:spacing w:after="0" w:line="240" w:lineRule="auto"/>
        <w:ind w:left="1425"/>
        <w:jc w:val="both"/>
        <w:textAlignment w:val="baseline"/>
        <w:rPr>
          <w:rFonts w:eastAsia="Times New Roman" w:cs="Calibri Light"/>
          <w:color w:val="auto"/>
          <w:sz w:val="22"/>
          <w:lang w:eastAsia="en-GB"/>
        </w:rPr>
      </w:pPr>
    </w:p>
    <w:p w14:paraId="22BD8CA3" w14:textId="77777777" w:rsidR="00D51839" w:rsidRDefault="00D51839" w:rsidP="00D51839">
      <w:pPr>
        <w:numPr>
          <w:ilvl w:val="0"/>
          <w:numId w:val="240"/>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Processor shall promptly and in any event within 10 business days of the date of cessation of any services involving the processing of EIT UM’s Personal Data, delete and  procure the deletion of all copies of those EIT UM’s Personal Data. </w:t>
      </w:r>
      <w:r w:rsidRPr="00ED36B4">
        <w:rPr>
          <w:rFonts w:eastAsia="Times New Roman" w:cs="Calibri Light"/>
          <w:color w:val="auto"/>
          <w:sz w:val="22"/>
          <w:lang w:eastAsia="en-GB"/>
        </w:rPr>
        <w:t> </w:t>
      </w:r>
    </w:p>
    <w:p w14:paraId="5CC90A53"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279E0C70" w14:textId="77777777" w:rsidR="00D51839" w:rsidRPr="00ED36B4" w:rsidRDefault="00D51839" w:rsidP="00D51839">
      <w:pPr>
        <w:numPr>
          <w:ilvl w:val="0"/>
          <w:numId w:val="241"/>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However, the Processor may keep a copy of the data, with the data duly blocked, for as long as liability may arise from the performance of the service.</w:t>
      </w:r>
      <w:r w:rsidRPr="00ED36B4">
        <w:rPr>
          <w:rFonts w:eastAsia="Times New Roman" w:cs="Calibri Light"/>
          <w:color w:val="auto"/>
          <w:sz w:val="22"/>
          <w:lang w:eastAsia="en-GB"/>
        </w:rPr>
        <w:t> </w:t>
      </w:r>
    </w:p>
    <w:p w14:paraId="754FE8F2"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15A877F7" w14:textId="77777777" w:rsidR="00D51839" w:rsidRPr="00ED36B4" w:rsidRDefault="00D51839" w:rsidP="00D51839">
      <w:pPr>
        <w:numPr>
          <w:ilvl w:val="0"/>
          <w:numId w:val="242"/>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Processor shall provide written certification to EIT UM that it has fully complied with this section 9 within 10 business days of the cessation date.</w:t>
      </w:r>
      <w:r w:rsidRPr="00ED36B4">
        <w:rPr>
          <w:rFonts w:eastAsia="Times New Roman" w:cs="Calibri Light"/>
          <w:color w:val="auto"/>
          <w:sz w:val="22"/>
          <w:lang w:eastAsia="en-GB"/>
        </w:rPr>
        <w:t> </w:t>
      </w:r>
    </w:p>
    <w:p w14:paraId="7B0EEF81"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07073196" w14:textId="77777777" w:rsidR="00D51839" w:rsidRPr="00ED36B4" w:rsidRDefault="00D51839" w:rsidP="00D51839">
      <w:pPr>
        <w:numPr>
          <w:ilvl w:val="0"/>
          <w:numId w:val="243"/>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Audit rights</w:t>
      </w:r>
      <w:r w:rsidRPr="00ED36B4">
        <w:rPr>
          <w:rFonts w:eastAsia="Times New Roman" w:cs="Calibri Light"/>
          <w:color w:val="2E74B5"/>
          <w:sz w:val="22"/>
          <w:lang w:eastAsia="en-GB"/>
        </w:rPr>
        <w:t> </w:t>
      </w:r>
    </w:p>
    <w:p w14:paraId="3A05F593" w14:textId="77777777" w:rsidR="00D51839" w:rsidRPr="00ED36B4" w:rsidRDefault="00D51839" w:rsidP="00D51839">
      <w:pPr>
        <w:spacing w:after="0" w:line="240" w:lineRule="auto"/>
        <w:ind w:left="840"/>
        <w:jc w:val="both"/>
        <w:textAlignment w:val="baseline"/>
        <w:rPr>
          <w:rFonts w:ascii="Segoe UI" w:eastAsia="Times New Roman" w:hAnsi="Segoe UI" w:cs="Segoe UI"/>
          <w:color w:val="auto"/>
          <w:sz w:val="18"/>
          <w:szCs w:val="18"/>
          <w:lang w:eastAsia="en-GB"/>
        </w:rPr>
      </w:pPr>
      <w:r w:rsidRPr="00ED36B4">
        <w:rPr>
          <w:rFonts w:eastAsia="Times New Roman" w:cs="Calibri Light"/>
          <w:color w:val="2E74B5"/>
          <w:sz w:val="22"/>
          <w:lang w:eastAsia="en-GB"/>
        </w:rPr>
        <w:t> </w:t>
      </w:r>
    </w:p>
    <w:p w14:paraId="11AAD715" w14:textId="77777777" w:rsidR="00D51839" w:rsidRDefault="00D51839" w:rsidP="00D51839">
      <w:pPr>
        <w:numPr>
          <w:ilvl w:val="0"/>
          <w:numId w:val="244"/>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Data Processor shall make available to EIT UM, upon request, all information necessary to demonstrate compliance with this Data Processing Agreement and shall allow and contribute to audits, including inspections, by EIT UM or an auditor mandated by EIT UM in relation to the processing of EIT UM’s Personal Data.</w:t>
      </w:r>
      <w:r w:rsidRPr="00ED36B4">
        <w:rPr>
          <w:rFonts w:eastAsia="Times New Roman" w:cs="Calibri Light"/>
          <w:color w:val="auto"/>
          <w:sz w:val="22"/>
          <w:lang w:eastAsia="en-GB"/>
        </w:rPr>
        <w:t> </w:t>
      </w:r>
    </w:p>
    <w:p w14:paraId="6209E977"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314E53D9" w14:textId="77777777" w:rsidR="00D51839" w:rsidRPr="00ED36B4" w:rsidRDefault="00D51839" w:rsidP="00D51839">
      <w:pPr>
        <w:numPr>
          <w:ilvl w:val="0"/>
          <w:numId w:val="245"/>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Data Transfer</w:t>
      </w:r>
      <w:r w:rsidRPr="00ED36B4">
        <w:rPr>
          <w:rFonts w:eastAsia="Times New Roman" w:cs="Calibri Light"/>
          <w:color w:val="2E74B5"/>
          <w:sz w:val="22"/>
          <w:lang w:eastAsia="en-GB"/>
        </w:rPr>
        <w:t> </w:t>
      </w:r>
    </w:p>
    <w:p w14:paraId="24F3689A" w14:textId="77777777" w:rsidR="00D51839" w:rsidRPr="00ED36B4" w:rsidRDefault="00D51839" w:rsidP="00D51839">
      <w:pPr>
        <w:spacing w:after="0" w:line="240" w:lineRule="auto"/>
        <w:ind w:left="720"/>
        <w:jc w:val="both"/>
        <w:textAlignment w:val="baseline"/>
        <w:rPr>
          <w:rFonts w:ascii="Segoe UI" w:eastAsia="Times New Roman" w:hAnsi="Segoe UI" w:cs="Segoe UI"/>
          <w:color w:val="auto"/>
          <w:sz w:val="18"/>
          <w:szCs w:val="18"/>
          <w:lang w:eastAsia="en-GB"/>
        </w:rPr>
      </w:pPr>
      <w:r w:rsidRPr="00ED36B4">
        <w:rPr>
          <w:rFonts w:eastAsia="Times New Roman" w:cs="Calibri Light"/>
          <w:color w:val="2E74B5"/>
          <w:sz w:val="22"/>
          <w:lang w:eastAsia="en-GB"/>
        </w:rPr>
        <w:t> </w:t>
      </w:r>
    </w:p>
    <w:p w14:paraId="29009B56" w14:textId="77777777" w:rsidR="00D51839" w:rsidRDefault="00D51839" w:rsidP="00D51839">
      <w:pPr>
        <w:numPr>
          <w:ilvl w:val="0"/>
          <w:numId w:val="246"/>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Data Processor may not transfer or authorize the transfer of Personal Data to countries outside the EU and/or the European Economic Area (EEA)  without the prior written consent of EIT UM. If Personal Data processed under this Data Processing Agreement is transferred from a country within the European Economic Area to a country outside the European Economic Area, the Parties shall ensure that the Personal Data are adequately protected. To achieve this, the Parties shall, unless agreed otherwise, rely on EU approved standard contractual clauses for the transfer of Personal Data.</w:t>
      </w:r>
      <w:r w:rsidRPr="00ED36B4">
        <w:rPr>
          <w:rFonts w:eastAsia="Times New Roman" w:cs="Calibri Light"/>
          <w:color w:val="auto"/>
          <w:sz w:val="22"/>
          <w:lang w:eastAsia="en-GB"/>
        </w:rPr>
        <w:t> </w:t>
      </w:r>
    </w:p>
    <w:p w14:paraId="1753FF59"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0C77A94A" w14:textId="77777777" w:rsidR="00D51839" w:rsidRPr="00A71F71" w:rsidRDefault="00D51839" w:rsidP="00D51839">
      <w:pPr>
        <w:numPr>
          <w:ilvl w:val="0"/>
          <w:numId w:val="247"/>
        </w:numPr>
        <w:spacing w:after="0" w:line="240" w:lineRule="auto"/>
        <w:ind w:firstLine="0"/>
        <w:jc w:val="both"/>
        <w:textAlignment w:val="baseline"/>
        <w:rPr>
          <w:rFonts w:eastAsia="Times New Roman" w:cs="Calibri Light"/>
          <w:color w:val="auto"/>
          <w:sz w:val="22"/>
          <w:lang w:eastAsia="en-GB"/>
        </w:rPr>
      </w:pPr>
      <w:r w:rsidRPr="00ED36B4">
        <w:rPr>
          <w:rFonts w:eastAsia="Times New Roman" w:cs="Calibri Light"/>
          <w:b/>
          <w:bCs/>
          <w:color w:val="2E74B5"/>
          <w:sz w:val="22"/>
          <w:lang w:val="hu-HU" w:eastAsia="en-GB"/>
        </w:rPr>
        <w:t>General Terms</w:t>
      </w:r>
      <w:r w:rsidRPr="00ED36B4">
        <w:rPr>
          <w:rFonts w:eastAsia="Times New Roman" w:cs="Calibri Light"/>
          <w:color w:val="2E74B5"/>
          <w:sz w:val="22"/>
          <w:lang w:eastAsia="en-GB"/>
        </w:rPr>
        <w:t> </w:t>
      </w:r>
    </w:p>
    <w:p w14:paraId="65A638F3" w14:textId="77777777" w:rsidR="00D51839" w:rsidRPr="00ED36B4" w:rsidRDefault="00D51839" w:rsidP="00D51839">
      <w:pPr>
        <w:spacing w:after="0" w:line="240" w:lineRule="auto"/>
        <w:ind w:left="720"/>
        <w:jc w:val="both"/>
        <w:textAlignment w:val="baseline"/>
        <w:rPr>
          <w:rFonts w:eastAsia="Times New Roman" w:cs="Calibri Light"/>
          <w:color w:val="auto"/>
          <w:sz w:val="22"/>
          <w:lang w:eastAsia="en-GB"/>
        </w:rPr>
      </w:pPr>
    </w:p>
    <w:p w14:paraId="34E39D8A" w14:textId="77777777" w:rsidR="00D51839" w:rsidRPr="00ED36B4" w:rsidRDefault="00D51839" w:rsidP="00D51839">
      <w:pPr>
        <w:numPr>
          <w:ilvl w:val="0"/>
          <w:numId w:val="248"/>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Confidentiality. Each Party must keep this Data Processing Agreement and the information it  receives about the other Party and its business in connection with this Data Processing Agreement confidential and must not use or disclose that confidential information without the prior written consent  of the other Party except to the extent that:</w:t>
      </w:r>
      <w:r w:rsidRPr="00ED36B4">
        <w:rPr>
          <w:rFonts w:eastAsia="Times New Roman" w:cs="Calibri Light"/>
          <w:color w:val="auto"/>
          <w:sz w:val="22"/>
          <w:lang w:eastAsia="en-GB"/>
        </w:rPr>
        <w:t> </w:t>
      </w:r>
    </w:p>
    <w:p w14:paraId="1B1F9A1E" w14:textId="77777777" w:rsidR="00D51839" w:rsidRPr="00ED36B4" w:rsidRDefault="00D51839" w:rsidP="00D51839">
      <w:pPr>
        <w:numPr>
          <w:ilvl w:val="0"/>
          <w:numId w:val="249"/>
        </w:numPr>
        <w:spacing w:after="0" w:line="240" w:lineRule="auto"/>
        <w:ind w:left="16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disclosure is required by law;</w:t>
      </w:r>
      <w:r w:rsidRPr="00ED36B4">
        <w:rPr>
          <w:rFonts w:eastAsia="Times New Roman" w:cs="Calibri Light"/>
          <w:color w:val="auto"/>
          <w:sz w:val="22"/>
          <w:lang w:eastAsia="en-GB"/>
        </w:rPr>
        <w:t> </w:t>
      </w:r>
    </w:p>
    <w:p w14:paraId="2668225A" w14:textId="77777777" w:rsidR="00D51839" w:rsidRDefault="00D51839" w:rsidP="00D51839">
      <w:pPr>
        <w:numPr>
          <w:ilvl w:val="0"/>
          <w:numId w:val="250"/>
        </w:numPr>
        <w:spacing w:after="0" w:line="240" w:lineRule="auto"/>
        <w:ind w:left="16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relevant information is already in the public domain.</w:t>
      </w:r>
      <w:r w:rsidRPr="00ED36B4">
        <w:rPr>
          <w:rFonts w:eastAsia="Times New Roman" w:cs="Calibri Light"/>
          <w:color w:val="auto"/>
          <w:sz w:val="22"/>
          <w:lang w:eastAsia="en-GB"/>
        </w:rPr>
        <w:t> </w:t>
      </w:r>
    </w:p>
    <w:p w14:paraId="03FAAC0B" w14:textId="77777777" w:rsidR="00D51839" w:rsidRPr="00ED36B4" w:rsidRDefault="00D51839" w:rsidP="00D51839">
      <w:pPr>
        <w:spacing w:after="0" w:line="240" w:lineRule="auto"/>
        <w:ind w:left="1605"/>
        <w:jc w:val="both"/>
        <w:textAlignment w:val="baseline"/>
        <w:rPr>
          <w:rFonts w:eastAsia="Times New Roman" w:cs="Calibri Light"/>
          <w:color w:val="auto"/>
          <w:sz w:val="22"/>
          <w:lang w:eastAsia="en-GB"/>
        </w:rPr>
      </w:pPr>
    </w:p>
    <w:p w14:paraId="42A6D133" w14:textId="77777777" w:rsidR="00D51839" w:rsidRDefault="00D51839" w:rsidP="00D51839">
      <w:pPr>
        <w:numPr>
          <w:ilvl w:val="0"/>
          <w:numId w:val="251"/>
        </w:numPr>
        <w:spacing w:after="0" w:line="240" w:lineRule="auto"/>
        <w:ind w:left="87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lastRenderedPageBreak/>
        <w:t>Notices.</w:t>
      </w:r>
      <w:r w:rsidRPr="00ED36B4">
        <w:rPr>
          <w:rFonts w:eastAsia="Times New Roman" w:cs="Calibri Light"/>
          <w:b/>
          <w:bCs/>
          <w:color w:val="auto"/>
          <w:sz w:val="22"/>
          <w:lang w:val="hu-HU" w:eastAsia="en-GB"/>
        </w:rPr>
        <w:t xml:space="preserve"> </w:t>
      </w:r>
      <w:r w:rsidRPr="00ED36B4">
        <w:rPr>
          <w:rFonts w:eastAsia="Times New Roman" w:cs="Calibri Light"/>
          <w:color w:val="auto"/>
          <w:sz w:val="22"/>
          <w:lang w:val="hu-HU" w:eastAsia="en-GB"/>
        </w:rPr>
        <w:t>All notices and communications given under this Data Processing Agreement must be in writing and will be delivered personally, sent by email to the email address set out in the Agreement.</w:t>
      </w:r>
      <w:r w:rsidRPr="00ED36B4">
        <w:rPr>
          <w:rFonts w:eastAsia="Times New Roman" w:cs="Calibri Light"/>
          <w:color w:val="auto"/>
          <w:sz w:val="22"/>
          <w:lang w:eastAsia="en-GB"/>
        </w:rPr>
        <w:t> </w:t>
      </w:r>
    </w:p>
    <w:p w14:paraId="14B47C01"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11B77759"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74493D1A"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55971F0D"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0BA4D2D6" w14:textId="77777777" w:rsidR="00D51839" w:rsidRDefault="00D51839" w:rsidP="00D51839">
      <w:pPr>
        <w:spacing w:after="0" w:line="240" w:lineRule="auto"/>
        <w:ind w:left="870"/>
        <w:jc w:val="both"/>
        <w:textAlignment w:val="baseline"/>
        <w:rPr>
          <w:rFonts w:eastAsia="Times New Roman" w:cs="Calibri Light"/>
          <w:color w:val="auto"/>
          <w:sz w:val="22"/>
          <w:lang w:eastAsia="en-GB"/>
        </w:rPr>
      </w:pPr>
    </w:p>
    <w:p w14:paraId="6EDC1C94"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1FF72754"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5EE89C3F"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64A773C4"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36886623"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3DC7D17A"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07992C5C"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424C48DB"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5B01CC21"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11125E75"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0C8217AF"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46D31D22"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377BC3C8"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3FD80C00"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6C3ACE65"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37AF7B33"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044DC990"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51A0DE90"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1344A981"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1E782157"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05F7B1D3"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29F1B87F"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598F0AEB"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005D294F"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3FF7D69B"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2F04D22B"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71DFB209"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6967DB04"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44B0CD1D"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66523AA8"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736B5952"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79649CF8"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67454F8C"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3108E8C6"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72A40720"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69BCB48E"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2E86DDF2" w14:textId="77777777" w:rsidR="00720262" w:rsidRDefault="00720262" w:rsidP="00D51839">
      <w:pPr>
        <w:spacing w:after="0" w:line="240" w:lineRule="auto"/>
        <w:ind w:left="870"/>
        <w:jc w:val="both"/>
        <w:textAlignment w:val="baseline"/>
        <w:rPr>
          <w:rFonts w:eastAsia="Times New Roman" w:cs="Calibri Light"/>
          <w:color w:val="auto"/>
          <w:sz w:val="22"/>
          <w:lang w:eastAsia="en-GB"/>
        </w:rPr>
      </w:pPr>
    </w:p>
    <w:p w14:paraId="22C1753B" w14:textId="77777777" w:rsidR="00D51839" w:rsidRPr="00ED36B4" w:rsidRDefault="00D51839" w:rsidP="00D51839">
      <w:pPr>
        <w:spacing w:after="0" w:line="240" w:lineRule="auto"/>
        <w:ind w:left="870"/>
        <w:jc w:val="both"/>
        <w:textAlignment w:val="baseline"/>
        <w:rPr>
          <w:rFonts w:eastAsia="Times New Roman" w:cs="Calibri Light"/>
          <w:color w:val="auto"/>
          <w:sz w:val="22"/>
          <w:lang w:eastAsia="en-GB"/>
        </w:rPr>
      </w:pPr>
    </w:p>
    <w:p w14:paraId="6B05EA1C" w14:textId="77777777" w:rsidR="00D51839" w:rsidRDefault="00D51839" w:rsidP="00D51839">
      <w:pPr>
        <w:spacing w:after="0" w:line="240" w:lineRule="auto"/>
        <w:jc w:val="center"/>
        <w:textAlignment w:val="baseline"/>
        <w:rPr>
          <w:rFonts w:eastAsia="Times New Roman" w:cs="Calibri Light"/>
          <w:color w:val="2E74B5"/>
          <w:sz w:val="22"/>
          <w:lang w:eastAsia="en-GB"/>
        </w:rPr>
      </w:pPr>
      <w:r w:rsidRPr="00ED36B4">
        <w:rPr>
          <w:rFonts w:eastAsia="Times New Roman" w:cs="Calibri Light"/>
          <w:b/>
          <w:bCs/>
          <w:color w:val="2E74B5"/>
          <w:sz w:val="22"/>
          <w:u w:val="single"/>
          <w:lang w:val="hu-HU" w:eastAsia="en-GB"/>
        </w:rPr>
        <w:lastRenderedPageBreak/>
        <w:t>Exhibit A</w:t>
      </w:r>
      <w:r w:rsidRPr="00ED36B4">
        <w:rPr>
          <w:rFonts w:eastAsia="Times New Roman" w:cs="Calibri Light"/>
          <w:color w:val="2E74B5"/>
          <w:sz w:val="22"/>
          <w:lang w:eastAsia="en-GB"/>
        </w:rPr>
        <w:t> </w:t>
      </w:r>
    </w:p>
    <w:p w14:paraId="5CF31368" w14:textId="77777777" w:rsidR="00D51839" w:rsidRPr="00ED36B4" w:rsidRDefault="00D51839" w:rsidP="00D51839">
      <w:pPr>
        <w:spacing w:after="0" w:line="240" w:lineRule="auto"/>
        <w:jc w:val="center"/>
        <w:textAlignment w:val="baseline"/>
        <w:rPr>
          <w:rFonts w:ascii="Segoe UI" w:eastAsia="Times New Roman" w:hAnsi="Segoe UI" w:cs="Segoe UI"/>
          <w:color w:val="auto"/>
          <w:sz w:val="18"/>
          <w:szCs w:val="18"/>
          <w:lang w:eastAsia="en-GB"/>
        </w:rPr>
      </w:pPr>
    </w:p>
    <w:p w14:paraId="743C5186" w14:textId="77777777" w:rsidR="00D51839" w:rsidRPr="00A71F71" w:rsidRDefault="00D51839" w:rsidP="00D51839">
      <w:pPr>
        <w:numPr>
          <w:ilvl w:val="0"/>
          <w:numId w:val="252"/>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b/>
          <w:bCs/>
          <w:color w:val="4472C4"/>
          <w:sz w:val="22"/>
          <w:lang w:val="hu-HU" w:eastAsia="en-GB"/>
        </w:rPr>
        <w:t>Description of Personal Data processin</w:t>
      </w:r>
      <w:r>
        <w:rPr>
          <w:rFonts w:eastAsia="Times New Roman" w:cs="Calibri Light"/>
          <w:b/>
          <w:bCs/>
          <w:color w:val="4472C4"/>
          <w:sz w:val="22"/>
          <w:lang w:val="hu-HU" w:eastAsia="en-GB"/>
        </w:rPr>
        <w:t>g</w:t>
      </w:r>
    </w:p>
    <w:p w14:paraId="49106C3A" w14:textId="77777777" w:rsidR="00D51839" w:rsidRPr="00A71F71" w:rsidRDefault="00D51839" w:rsidP="00D51839">
      <w:pPr>
        <w:spacing w:after="0" w:line="240" w:lineRule="auto"/>
        <w:ind w:left="1080"/>
        <w:jc w:val="both"/>
        <w:textAlignment w:val="baseline"/>
        <w:rPr>
          <w:rFonts w:eastAsia="Times New Roman" w:cs="Calibri Light"/>
          <w:color w:val="auto"/>
          <w:sz w:val="22"/>
          <w:lang w:eastAsia="en-GB"/>
        </w:rPr>
      </w:pPr>
    </w:p>
    <w:p w14:paraId="1614D24D" w14:textId="77777777" w:rsidR="00D51839" w:rsidRDefault="00D51839" w:rsidP="00D51839">
      <w:pPr>
        <w:numPr>
          <w:ilvl w:val="0"/>
          <w:numId w:val="253"/>
        </w:numPr>
        <w:spacing w:after="0" w:line="240" w:lineRule="auto"/>
        <w:ind w:left="141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 xml:space="preserve">The Data Processor is enabled to process on behalf of EIT UM, the Personal Data necessary to provide the services </w:t>
      </w:r>
      <w:r w:rsidRPr="00ED36B4">
        <w:rPr>
          <w:rFonts w:eastAsia="Times New Roman" w:cs="Calibri Light"/>
          <w:b/>
          <w:bCs/>
          <w:color w:val="auto"/>
          <w:sz w:val="22"/>
          <w:lang w:eastAsia="en-GB"/>
        </w:rPr>
        <w:t>described in clause 1.3 of the Agreement.</w:t>
      </w:r>
      <w:r w:rsidRPr="00ED36B4">
        <w:rPr>
          <w:rFonts w:eastAsia="Times New Roman" w:cs="Calibri Light"/>
          <w:color w:val="auto"/>
          <w:sz w:val="22"/>
          <w:lang w:eastAsia="en-GB"/>
        </w:rPr>
        <w:t> </w:t>
      </w:r>
    </w:p>
    <w:p w14:paraId="37D496A9" w14:textId="77777777" w:rsidR="00D51839" w:rsidRPr="00ED36B4" w:rsidRDefault="00D51839" w:rsidP="00D51839">
      <w:pPr>
        <w:spacing w:after="0" w:line="240" w:lineRule="auto"/>
        <w:ind w:left="1410"/>
        <w:jc w:val="both"/>
        <w:textAlignment w:val="baseline"/>
        <w:rPr>
          <w:rFonts w:eastAsia="Times New Roman" w:cs="Calibri Light"/>
          <w:color w:val="auto"/>
          <w:sz w:val="22"/>
          <w:lang w:eastAsia="en-GB"/>
        </w:rPr>
      </w:pPr>
    </w:p>
    <w:p w14:paraId="71A49E31" w14:textId="77777777" w:rsidR="00D51839" w:rsidRDefault="00D51839" w:rsidP="00D51839">
      <w:pPr>
        <w:numPr>
          <w:ilvl w:val="0"/>
          <w:numId w:val="254"/>
        </w:numPr>
        <w:spacing w:after="0" w:line="240" w:lineRule="auto"/>
        <w:ind w:left="141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The processing will consist of: </w:t>
      </w:r>
      <w:r w:rsidRPr="00ED36B4">
        <w:rPr>
          <w:rFonts w:eastAsia="Times New Roman" w:cs="Calibri Light"/>
          <w:color w:val="auto"/>
          <w:sz w:val="22"/>
          <w:lang w:eastAsia="en-GB"/>
        </w:rPr>
        <w:t> </w:t>
      </w:r>
    </w:p>
    <w:p w14:paraId="5355C4F8" w14:textId="77777777" w:rsidR="00D51839" w:rsidRPr="00ED36B4" w:rsidRDefault="00D51839" w:rsidP="00D51839">
      <w:pPr>
        <w:spacing w:after="0" w:line="240" w:lineRule="auto"/>
        <w:ind w:left="1410"/>
        <w:jc w:val="both"/>
        <w:textAlignment w:val="baseline"/>
        <w:rPr>
          <w:rFonts w:eastAsia="Times New Roman" w:cs="Calibri Light"/>
          <w:color w:val="auto"/>
          <w:sz w:val="22"/>
          <w:lang w:eastAsia="en-GB"/>
        </w:rPr>
      </w:pPr>
      <w:r>
        <w:rPr>
          <w:rFonts w:eastAsia="Times New Roman" w:cs="Calibri Light"/>
          <w:noProof/>
          <w:color w:val="auto"/>
          <w:sz w:val="22"/>
          <w:lang w:eastAsia="en-GB"/>
        </w:rPr>
        <mc:AlternateContent>
          <mc:Choice Requires="wps">
            <w:drawing>
              <wp:anchor distT="0" distB="0" distL="114300" distR="114300" simplePos="0" relativeHeight="251662336" behindDoc="0" locked="0" layoutInCell="1" allowOverlap="1" wp14:anchorId="62C0986A" wp14:editId="11A406EF">
                <wp:simplePos x="0" y="0"/>
                <wp:positionH relativeFrom="column">
                  <wp:posOffset>1396365</wp:posOffset>
                </wp:positionH>
                <wp:positionV relativeFrom="paragraph">
                  <wp:posOffset>9525</wp:posOffset>
                </wp:positionV>
                <wp:extent cx="3962400" cy="457200"/>
                <wp:effectExtent l="0" t="0" r="19050" b="19050"/>
                <wp:wrapNone/>
                <wp:docPr id="422970812" name="Text Box 2"/>
                <wp:cNvGraphicFramePr/>
                <a:graphic xmlns:a="http://schemas.openxmlformats.org/drawingml/2006/main">
                  <a:graphicData uri="http://schemas.microsoft.com/office/word/2010/wordprocessingShape">
                    <wps:wsp>
                      <wps:cNvSpPr txBox="1"/>
                      <wps:spPr>
                        <a:xfrm>
                          <a:off x="0" y="0"/>
                          <a:ext cx="3962400" cy="457200"/>
                        </a:xfrm>
                        <a:prstGeom prst="rect">
                          <a:avLst/>
                        </a:prstGeom>
                        <a:solidFill>
                          <a:schemeClr val="lt1"/>
                        </a:solidFill>
                        <a:ln w="6350">
                          <a:solidFill>
                            <a:prstClr val="black"/>
                          </a:solidFill>
                        </a:ln>
                      </wps:spPr>
                      <wps:txbx>
                        <w:txbxContent>
                          <w:p w14:paraId="25FFCBEB"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000000"/>
                                <w:sz w:val="22"/>
                                <w:lang w:val="hu-HU" w:eastAsia="en-GB"/>
                              </w:rPr>
                              <w:t>The processing of personal data by the Data Processor under the scope of this Agreement may take place when XXXXXXX</w:t>
                            </w:r>
                            <w:r w:rsidRPr="00ED36B4">
                              <w:rPr>
                                <w:rFonts w:eastAsia="Times New Roman" w:cs="Calibri Light"/>
                                <w:color w:val="000000"/>
                                <w:sz w:val="22"/>
                                <w:lang w:eastAsia="en-GB"/>
                              </w:rPr>
                              <w:t> </w:t>
                            </w:r>
                          </w:p>
                          <w:p w14:paraId="613EB682" w14:textId="77777777" w:rsidR="00D51839" w:rsidRDefault="00D51839" w:rsidP="00D51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C0986A" id="Text Box 2" o:spid="_x0000_s1027" type="#_x0000_t202" style="position:absolute;left:0;text-align:left;margin-left:109.95pt;margin-top:.75pt;width:312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" fillcolor="white [3201]" strokeweight=".5pt">
                <v:textbox>
                  <w:txbxContent>
                    <w:p w14:paraId="25FFCBEB"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000000"/>
                          <w:sz w:val="22"/>
                          <w:lang w:val="hu-HU" w:eastAsia="en-GB"/>
                        </w:rPr>
                        <w:t>The processing of personal data by the Data Processor under the scope of this Agreement may take place when XXXXXXX</w:t>
                      </w:r>
                      <w:r w:rsidRPr="00ED36B4">
                        <w:rPr>
                          <w:rFonts w:eastAsia="Times New Roman" w:cs="Calibri Light"/>
                          <w:color w:val="000000"/>
                          <w:sz w:val="22"/>
                          <w:lang w:eastAsia="en-GB"/>
                        </w:rPr>
                        <w:t> </w:t>
                      </w:r>
                    </w:p>
                    <w:p w14:paraId="613EB682" w14:textId="77777777" w:rsidR="00D51839" w:rsidRDefault="00D51839" w:rsidP="00D51839"/>
                  </w:txbxContent>
                </v:textbox>
              </v:shape>
            </w:pict>
          </mc:Fallback>
        </mc:AlternateContent>
      </w:r>
    </w:p>
    <w:p w14:paraId="1C725203"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FF0000"/>
          <w:sz w:val="22"/>
          <w:lang w:eastAsia="en-GB"/>
        </w:rPr>
        <w:t> </w:t>
      </w:r>
    </w:p>
    <w:p w14:paraId="68C0F07D" w14:textId="77777777" w:rsidR="00D51839" w:rsidRPr="00642BA5" w:rsidRDefault="00D51839" w:rsidP="00D51839">
      <w:pPr>
        <w:spacing w:after="0" w:line="240" w:lineRule="auto"/>
        <w:ind w:left="1410"/>
        <w:jc w:val="both"/>
        <w:textAlignment w:val="baseline"/>
        <w:rPr>
          <w:rFonts w:eastAsia="Times New Roman" w:cs="Calibri Light"/>
          <w:color w:val="auto"/>
          <w:sz w:val="22"/>
          <w:lang w:eastAsia="en-GB"/>
        </w:rPr>
      </w:pPr>
    </w:p>
    <w:p w14:paraId="4CD6DC7A" w14:textId="77777777" w:rsidR="00D51839" w:rsidRPr="00642BA5" w:rsidRDefault="00D51839" w:rsidP="00D51839">
      <w:pPr>
        <w:spacing w:after="0" w:line="240" w:lineRule="auto"/>
        <w:ind w:left="1410"/>
        <w:jc w:val="both"/>
        <w:textAlignment w:val="baseline"/>
        <w:rPr>
          <w:rFonts w:eastAsia="Times New Roman" w:cs="Calibri Light"/>
          <w:color w:val="auto"/>
          <w:sz w:val="22"/>
          <w:lang w:eastAsia="en-GB"/>
        </w:rPr>
      </w:pPr>
    </w:p>
    <w:p w14:paraId="69D511D4" w14:textId="77777777" w:rsidR="00D51839" w:rsidRPr="00ED36B4" w:rsidRDefault="00D51839" w:rsidP="00D51839">
      <w:pPr>
        <w:numPr>
          <w:ilvl w:val="0"/>
          <w:numId w:val="255"/>
        </w:numPr>
        <w:spacing w:after="0" w:line="240" w:lineRule="auto"/>
        <w:ind w:left="141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 xml:space="preserve">Specification of the processing to be carried out: </w:t>
      </w:r>
      <w:r w:rsidRPr="00ED36B4">
        <w:rPr>
          <w:rFonts w:eastAsia="Times New Roman" w:cs="Calibri Light"/>
          <w:i/>
          <w:iCs/>
          <w:color w:val="auto"/>
          <w:sz w:val="22"/>
          <w:lang w:val="hu-HU" w:eastAsia="en-GB"/>
        </w:rPr>
        <w:t>(Please mark with a cross where applicable)</w:t>
      </w:r>
      <w:r w:rsidRPr="00ED36B4">
        <w:rPr>
          <w:rFonts w:eastAsia="Times New Roman" w:cs="Calibri Light"/>
          <w:color w:val="auto"/>
          <w:sz w:val="22"/>
          <w:lang w:eastAsia="en-GB"/>
        </w:rPr>
        <w:t> </w:t>
      </w:r>
    </w:p>
    <w:p w14:paraId="2E19E63B" w14:textId="77777777" w:rsidR="00D51839" w:rsidRPr="00ED36B4" w:rsidRDefault="00D51839" w:rsidP="00D51839">
      <w:pPr>
        <w:numPr>
          <w:ilvl w:val="0"/>
          <w:numId w:val="256"/>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en-US" w:eastAsia="en-GB"/>
        </w:rPr>
        <w:t xml:space="preserve">Collection </w:t>
      </w:r>
      <w:r w:rsidRPr="00ED36B4">
        <w:rPr>
          <w:rFonts w:ascii="Calibri" w:eastAsia="Times New Roman" w:hAnsi="Calibri" w:cs="Calibri"/>
          <w:color w:val="auto"/>
          <w:sz w:val="22"/>
          <w:lang w:eastAsia="en-GB"/>
        </w:rPr>
        <w:tab/>
      </w:r>
      <w:r w:rsidRPr="00ED36B4">
        <w:rPr>
          <w:rFonts w:eastAsia="Times New Roman" w:cs="Calibri Light"/>
          <w:color w:val="auto"/>
          <w:sz w:val="22"/>
          <w:lang w:val="en-US" w:eastAsia="en-GB"/>
        </w:rPr>
        <w:t> </w:t>
      </w:r>
      <w:r w:rsidRPr="00ED36B4">
        <w:rPr>
          <w:rFonts w:eastAsia="Times New Roman" w:cs="Calibri Light"/>
          <w:color w:val="auto"/>
          <w:sz w:val="22"/>
          <w:lang w:eastAsia="en-GB"/>
        </w:rPr>
        <w:t> </w:t>
      </w:r>
    </w:p>
    <w:p w14:paraId="32A234B5" w14:textId="77777777" w:rsidR="00D51839" w:rsidRPr="00ED36B4" w:rsidRDefault="00D51839" w:rsidP="00D51839">
      <w:pPr>
        <w:numPr>
          <w:ilvl w:val="0"/>
          <w:numId w:val="257"/>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en-US" w:eastAsia="en-GB"/>
        </w:rPr>
        <w:t>Recording </w:t>
      </w:r>
      <w:r w:rsidRPr="00ED36B4">
        <w:rPr>
          <w:rFonts w:eastAsia="Times New Roman" w:cs="Calibri Light"/>
          <w:color w:val="auto"/>
          <w:sz w:val="22"/>
          <w:lang w:eastAsia="en-GB"/>
        </w:rPr>
        <w:t> </w:t>
      </w:r>
    </w:p>
    <w:p w14:paraId="13CCE457" w14:textId="77777777" w:rsidR="00D51839" w:rsidRPr="00ED36B4" w:rsidRDefault="00D51839" w:rsidP="00D51839">
      <w:pPr>
        <w:numPr>
          <w:ilvl w:val="0"/>
          <w:numId w:val="258"/>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en-US" w:eastAsia="en-GB"/>
        </w:rPr>
        <w:t xml:space="preserve">Structuring  </w:t>
      </w:r>
      <w:r w:rsidRPr="00ED36B4">
        <w:rPr>
          <w:rFonts w:ascii="Calibri" w:eastAsia="Times New Roman" w:hAnsi="Calibri" w:cs="Calibri"/>
          <w:color w:val="auto"/>
          <w:sz w:val="22"/>
          <w:lang w:eastAsia="en-GB"/>
        </w:rPr>
        <w:tab/>
      </w:r>
      <w:r w:rsidRPr="00ED36B4">
        <w:rPr>
          <w:rFonts w:ascii="Calibri" w:eastAsia="Times New Roman" w:hAnsi="Calibri" w:cs="Calibri"/>
          <w:color w:val="auto"/>
          <w:sz w:val="24"/>
          <w:szCs w:val="24"/>
          <w:lang w:eastAsia="en-GB"/>
        </w:rPr>
        <w:tab/>
      </w:r>
      <w:r w:rsidRPr="00ED36B4">
        <w:rPr>
          <w:rFonts w:eastAsia="Times New Roman" w:cs="Calibri Light"/>
          <w:color w:val="auto"/>
          <w:sz w:val="22"/>
          <w:lang w:eastAsia="en-GB"/>
        </w:rPr>
        <w:t> </w:t>
      </w:r>
    </w:p>
    <w:p w14:paraId="36609641" w14:textId="77777777" w:rsidR="00D51839" w:rsidRPr="00ED36B4" w:rsidRDefault="00D51839" w:rsidP="00D51839">
      <w:pPr>
        <w:numPr>
          <w:ilvl w:val="0"/>
          <w:numId w:val="259"/>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en-US" w:eastAsia="en-GB"/>
        </w:rPr>
        <w:t>Modification </w:t>
      </w:r>
      <w:r w:rsidRPr="00ED36B4">
        <w:rPr>
          <w:rFonts w:eastAsia="Times New Roman" w:cs="Calibri Light"/>
          <w:color w:val="auto"/>
          <w:sz w:val="22"/>
          <w:lang w:eastAsia="en-GB"/>
        </w:rPr>
        <w:t> </w:t>
      </w:r>
    </w:p>
    <w:p w14:paraId="3270FB61" w14:textId="77777777" w:rsidR="00D51839" w:rsidRPr="00ED36B4" w:rsidRDefault="00D51839" w:rsidP="00D51839">
      <w:pPr>
        <w:numPr>
          <w:ilvl w:val="0"/>
          <w:numId w:val="260"/>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en-US" w:eastAsia="en-GB"/>
        </w:rPr>
        <w:t xml:space="preserve">Conservation </w:t>
      </w:r>
      <w:r w:rsidRPr="00ED36B4">
        <w:rPr>
          <w:rFonts w:ascii="Calibri" w:eastAsia="Times New Roman" w:hAnsi="Calibri" w:cs="Calibri"/>
          <w:color w:val="auto"/>
          <w:sz w:val="22"/>
          <w:lang w:eastAsia="en-GB"/>
        </w:rPr>
        <w:tab/>
      </w:r>
      <w:r w:rsidRPr="00ED36B4">
        <w:rPr>
          <w:rFonts w:ascii="Calibri" w:eastAsia="Times New Roman" w:hAnsi="Calibri" w:cs="Calibri"/>
          <w:color w:val="auto"/>
          <w:sz w:val="24"/>
          <w:szCs w:val="24"/>
          <w:lang w:eastAsia="en-GB"/>
        </w:rPr>
        <w:tab/>
      </w:r>
      <w:r w:rsidRPr="00ED36B4">
        <w:rPr>
          <w:rFonts w:eastAsia="Times New Roman" w:cs="Calibri Light"/>
          <w:color w:val="auto"/>
          <w:sz w:val="22"/>
          <w:lang w:eastAsia="en-GB"/>
        </w:rPr>
        <w:t> </w:t>
      </w:r>
    </w:p>
    <w:p w14:paraId="336881D2" w14:textId="77777777" w:rsidR="00D51839" w:rsidRPr="00ED36B4" w:rsidRDefault="00D51839" w:rsidP="00D51839">
      <w:pPr>
        <w:numPr>
          <w:ilvl w:val="0"/>
          <w:numId w:val="261"/>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Extraction </w:t>
      </w:r>
      <w:r w:rsidRPr="00ED36B4">
        <w:rPr>
          <w:rFonts w:eastAsia="Times New Roman" w:cs="Calibri Light"/>
          <w:color w:val="auto"/>
          <w:sz w:val="22"/>
          <w:lang w:eastAsia="en-GB"/>
        </w:rPr>
        <w:t> </w:t>
      </w:r>
    </w:p>
    <w:p w14:paraId="4B491700" w14:textId="77777777" w:rsidR="00D51839" w:rsidRPr="00ED36B4" w:rsidRDefault="00D51839" w:rsidP="00D51839">
      <w:pPr>
        <w:numPr>
          <w:ilvl w:val="0"/>
          <w:numId w:val="262"/>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Consultation </w:t>
      </w:r>
      <w:r w:rsidRPr="00ED36B4">
        <w:rPr>
          <w:rFonts w:eastAsia="Times New Roman" w:cs="Calibri Light"/>
          <w:color w:val="auto"/>
          <w:sz w:val="22"/>
          <w:lang w:eastAsia="en-GB"/>
        </w:rPr>
        <w:t> </w:t>
      </w:r>
    </w:p>
    <w:p w14:paraId="4E04404D" w14:textId="77777777" w:rsidR="00D51839" w:rsidRPr="00ED36B4" w:rsidRDefault="00D51839" w:rsidP="00D51839">
      <w:pPr>
        <w:numPr>
          <w:ilvl w:val="0"/>
          <w:numId w:val="263"/>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Communication by transmission </w:t>
      </w:r>
      <w:r w:rsidRPr="00ED36B4">
        <w:rPr>
          <w:rFonts w:eastAsia="Times New Roman" w:cs="Calibri Light"/>
          <w:color w:val="auto"/>
          <w:sz w:val="22"/>
          <w:lang w:eastAsia="en-GB"/>
        </w:rPr>
        <w:t> </w:t>
      </w:r>
    </w:p>
    <w:p w14:paraId="1423B9FE" w14:textId="77777777" w:rsidR="00D51839" w:rsidRPr="00ED36B4" w:rsidRDefault="00D51839" w:rsidP="00D51839">
      <w:pPr>
        <w:numPr>
          <w:ilvl w:val="0"/>
          <w:numId w:val="264"/>
        </w:numPr>
        <w:spacing w:after="0" w:line="240" w:lineRule="auto"/>
        <w:ind w:left="2190" w:firstLine="0"/>
        <w:jc w:val="both"/>
        <w:textAlignment w:val="baseline"/>
        <w:rPr>
          <w:rFonts w:eastAsia="Times New Roman" w:cs="Calibri Light"/>
          <w:color w:val="auto"/>
          <w:sz w:val="22"/>
          <w:lang w:eastAsia="en-GB"/>
        </w:rPr>
      </w:pPr>
      <w:proofErr w:type="spellStart"/>
      <w:r w:rsidRPr="00ED36B4">
        <w:rPr>
          <w:rFonts w:eastAsia="Times New Roman" w:cs="Calibri Light"/>
          <w:color w:val="auto"/>
          <w:sz w:val="22"/>
          <w:lang w:val="fr-FR" w:eastAsia="en-GB"/>
        </w:rPr>
        <w:t>Dissemination</w:t>
      </w:r>
      <w:proofErr w:type="spellEnd"/>
      <w:r w:rsidRPr="00ED36B4">
        <w:rPr>
          <w:rFonts w:eastAsia="Times New Roman" w:cs="Calibri Light"/>
          <w:color w:val="auto"/>
          <w:sz w:val="22"/>
          <w:lang w:val="fr-FR" w:eastAsia="en-GB"/>
        </w:rPr>
        <w:t>   </w:t>
      </w:r>
      <w:r w:rsidRPr="00ED36B4">
        <w:rPr>
          <w:rFonts w:eastAsia="Times New Roman" w:cs="Calibri Light"/>
          <w:color w:val="auto"/>
          <w:sz w:val="22"/>
          <w:lang w:eastAsia="en-GB"/>
        </w:rPr>
        <w:t> </w:t>
      </w:r>
    </w:p>
    <w:p w14:paraId="39A30DF4" w14:textId="77777777" w:rsidR="00D51839" w:rsidRPr="00ED36B4" w:rsidRDefault="00D51839" w:rsidP="00D51839">
      <w:pPr>
        <w:numPr>
          <w:ilvl w:val="0"/>
          <w:numId w:val="265"/>
        </w:numPr>
        <w:spacing w:after="0" w:line="240" w:lineRule="auto"/>
        <w:ind w:left="2190" w:firstLine="0"/>
        <w:jc w:val="both"/>
        <w:textAlignment w:val="baseline"/>
        <w:rPr>
          <w:rFonts w:eastAsia="Times New Roman" w:cs="Calibri Light"/>
          <w:color w:val="auto"/>
          <w:sz w:val="22"/>
          <w:lang w:eastAsia="en-GB"/>
        </w:rPr>
      </w:pPr>
      <w:proofErr w:type="spellStart"/>
      <w:r w:rsidRPr="00ED36B4">
        <w:rPr>
          <w:rFonts w:eastAsia="Times New Roman" w:cs="Calibri Light"/>
          <w:color w:val="auto"/>
          <w:sz w:val="22"/>
          <w:lang w:val="fr-FR" w:eastAsia="en-GB"/>
        </w:rPr>
        <w:t>Interconnection</w:t>
      </w:r>
      <w:proofErr w:type="spellEnd"/>
      <w:r w:rsidRPr="00ED36B4">
        <w:rPr>
          <w:rFonts w:eastAsia="Times New Roman" w:cs="Calibri Light"/>
          <w:color w:val="auto"/>
          <w:sz w:val="22"/>
          <w:lang w:val="fr-FR" w:eastAsia="en-GB"/>
        </w:rPr>
        <w:t> </w:t>
      </w:r>
      <w:r w:rsidRPr="00ED36B4">
        <w:rPr>
          <w:rFonts w:eastAsia="Times New Roman" w:cs="Calibri Light"/>
          <w:color w:val="auto"/>
          <w:sz w:val="22"/>
          <w:lang w:eastAsia="en-GB"/>
        </w:rPr>
        <w:t> </w:t>
      </w:r>
    </w:p>
    <w:p w14:paraId="3F5B2AD3" w14:textId="77777777" w:rsidR="00D51839" w:rsidRPr="00ED36B4" w:rsidRDefault="00D51839" w:rsidP="00D51839">
      <w:pPr>
        <w:numPr>
          <w:ilvl w:val="0"/>
          <w:numId w:val="266"/>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 xml:space="preserve">Collation  </w:t>
      </w:r>
      <w:r w:rsidRPr="00ED36B4">
        <w:rPr>
          <w:rFonts w:ascii="Calibri" w:eastAsia="Times New Roman" w:hAnsi="Calibri" w:cs="Calibri"/>
          <w:color w:val="auto"/>
          <w:sz w:val="22"/>
          <w:lang w:eastAsia="en-GB"/>
        </w:rPr>
        <w:tab/>
      </w:r>
      <w:r w:rsidRPr="00ED36B4">
        <w:rPr>
          <w:rFonts w:ascii="Calibri" w:eastAsia="Times New Roman" w:hAnsi="Calibri" w:cs="Calibri"/>
          <w:color w:val="auto"/>
          <w:sz w:val="24"/>
          <w:szCs w:val="24"/>
          <w:lang w:eastAsia="en-GB"/>
        </w:rPr>
        <w:tab/>
      </w:r>
      <w:r w:rsidRPr="00ED36B4">
        <w:rPr>
          <w:rFonts w:ascii="Calibri" w:eastAsia="Times New Roman" w:hAnsi="Calibri" w:cs="Calibri"/>
          <w:color w:val="auto"/>
          <w:sz w:val="24"/>
          <w:szCs w:val="24"/>
          <w:lang w:eastAsia="en-GB"/>
        </w:rPr>
        <w:tab/>
      </w:r>
      <w:r w:rsidRPr="00ED36B4">
        <w:rPr>
          <w:rFonts w:eastAsia="Times New Roman" w:cs="Calibri Light"/>
          <w:color w:val="auto"/>
          <w:sz w:val="22"/>
          <w:lang w:eastAsia="en-GB"/>
        </w:rPr>
        <w:t> </w:t>
      </w:r>
    </w:p>
    <w:p w14:paraId="2786AAAF" w14:textId="77777777" w:rsidR="00D51839" w:rsidRPr="00ED36B4" w:rsidRDefault="00D51839" w:rsidP="00D51839">
      <w:pPr>
        <w:numPr>
          <w:ilvl w:val="0"/>
          <w:numId w:val="267"/>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Restriction </w:t>
      </w:r>
      <w:r w:rsidRPr="00ED36B4">
        <w:rPr>
          <w:rFonts w:eastAsia="Times New Roman" w:cs="Calibri Light"/>
          <w:color w:val="auto"/>
          <w:sz w:val="22"/>
          <w:lang w:eastAsia="en-GB"/>
        </w:rPr>
        <w:t> </w:t>
      </w:r>
    </w:p>
    <w:p w14:paraId="744EC0BB" w14:textId="77777777" w:rsidR="00D51839" w:rsidRPr="00ED36B4" w:rsidRDefault="00D51839" w:rsidP="00D51839">
      <w:pPr>
        <w:numPr>
          <w:ilvl w:val="0"/>
          <w:numId w:val="268"/>
        </w:numPr>
        <w:spacing w:after="0" w:line="240" w:lineRule="auto"/>
        <w:ind w:left="2190" w:firstLine="0"/>
        <w:jc w:val="both"/>
        <w:textAlignment w:val="baseline"/>
        <w:rPr>
          <w:rFonts w:eastAsia="Times New Roman" w:cs="Calibri Light"/>
          <w:color w:val="auto"/>
          <w:sz w:val="22"/>
          <w:lang w:eastAsia="en-GB"/>
        </w:rPr>
      </w:pPr>
      <w:proofErr w:type="spellStart"/>
      <w:r w:rsidRPr="00ED36B4">
        <w:rPr>
          <w:rFonts w:eastAsia="Times New Roman" w:cs="Calibri Light"/>
          <w:color w:val="auto"/>
          <w:sz w:val="22"/>
          <w:lang w:val="fr-FR" w:eastAsia="en-GB"/>
        </w:rPr>
        <w:t>Deletion</w:t>
      </w:r>
      <w:proofErr w:type="spellEnd"/>
      <w:r w:rsidRPr="00ED36B4">
        <w:rPr>
          <w:rFonts w:eastAsia="Times New Roman" w:cs="Calibri Light"/>
          <w:color w:val="auto"/>
          <w:sz w:val="22"/>
          <w:lang w:val="fr-FR" w:eastAsia="en-GB"/>
        </w:rPr>
        <w:t xml:space="preserve"> </w:t>
      </w:r>
      <w:r w:rsidRPr="00ED36B4">
        <w:rPr>
          <w:rFonts w:ascii="Calibri" w:eastAsia="Times New Roman" w:hAnsi="Calibri" w:cs="Calibri"/>
          <w:color w:val="auto"/>
          <w:sz w:val="22"/>
          <w:lang w:eastAsia="en-GB"/>
        </w:rPr>
        <w:tab/>
      </w:r>
      <w:r w:rsidRPr="00ED36B4">
        <w:rPr>
          <w:rFonts w:ascii="Calibri" w:eastAsia="Times New Roman" w:hAnsi="Calibri" w:cs="Calibri"/>
          <w:color w:val="auto"/>
          <w:sz w:val="24"/>
          <w:szCs w:val="24"/>
          <w:lang w:eastAsia="en-GB"/>
        </w:rPr>
        <w:tab/>
      </w:r>
      <w:r w:rsidRPr="00ED36B4">
        <w:rPr>
          <w:rFonts w:ascii="Calibri" w:eastAsia="Times New Roman" w:hAnsi="Calibri" w:cs="Calibri"/>
          <w:color w:val="auto"/>
          <w:sz w:val="24"/>
          <w:szCs w:val="24"/>
          <w:lang w:eastAsia="en-GB"/>
        </w:rPr>
        <w:tab/>
      </w:r>
      <w:r w:rsidRPr="00ED36B4">
        <w:rPr>
          <w:rFonts w:eastAsia="Times New Roman" w:cs="Calibri Light"/>
          <w:color w:val="auto"/>
          <w:sz w:val="22"/>
          <w:lang w:eastAsia="en-GB"/>
        </w:rPr>
        <w:t> </w:t>
      </w:r>
    </w:p>
    <w:p w14:paraId="0C44B8E1" w14:textId="77777777" w:rsidR="00D51839" w:rsidRPr="00ED36B4" w:rsidRDefault="00D51839" w:rsidP="00D51839">
      <w:pPr>
        <w:numPr>
          <w:ilvl w:val="0"/>
          <w:numId w:val="269"/>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Destruction </w:t>
      </w:r>
      <w:r w:rsidRPr="00ED36B4">
        <w:rPr>
          <w:rFonts w:eastAsia="Times New Roman" w:cs="Calibri Light"/>
          <w:color w:val="auto"/>
          <w:sz w:val="22"/>
          <w:lang w:eastAsia="en-GB"/>
        </w:rPr>
        <w:t> </w:t>
      </w:r>
    </w:p>
    <w:p w14:paraId="4375356D" w14:textId="77777777" w:rsidR="00D51839" w:rsidRPr="00ED36B4" w:rsidRDefault="00D51839" w:rsidP="00D51839">
      <w:pPr>
        <w:numPr>
          <w:ilvl w:val="0"/>
          <w:numId w:val="270"/>
        </w:numPr>
        <w:spacing w:after="0" w:line="240" w:lineRule="auto"/>
        <w:ind w:left="2190"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 xml:space="preserve">Conservation </w:t>
      </w:r>
      <w:r w:rsidRPr="00ED36B4">
        <w:rPr>
          <w:rFonts w:ascii="Calibri" w:eastAsia="Times New Roman" w:hAnsi="Calibri" w:cs="Calibri"/>
          <w:color w:val="auto"/>
          <w:sz w:val="22"/>
          <w:lang w:eastAsia="en-GB"/>
        </w:rPr>
        <w:tab/>
      </w:r>
      <w:r w:rsidRPr="00ED36B4">
        <w:rPr>
          <w:rFonts w:eastAsia="Times New Roman" w:cs="Calibri Light"/>
          <w:color w:val="auto"/>
          <w:sz w:val="22"/>
          <w:lang w:eastAsia="en-GB"/>
        </w:rPr>
        <w:t> </w:t>
      </w:r>
    </w:p>
    <w:p w14:paraId="028F7E74" w14:textId="77777777" w:rsidR="00D51839" w:rsidRPr="00ED36B4" w:rsidRDefault="00D51839" w:rsidP="00D51839">
      <w:pPr>
        <w:numPr>
          <w:ilvl w:val="0"/>
          <w:numId w:val="271"/>
        </w:numPr>
        <w:spacing w:after="0" w:line="240" w:lineRule="auto"/>
        <w:ind w:left="2205" w:firstLine="0"/>
        <w:jc w:val="both"/>
        <w:textAlignment w:val="baseline"/>
        <w:rPr>
          <w:rFonts w:eastAsia="Times New Roman" w:cs="Calibri Light"/>
          <w:color w:val="auto"/>
          <w:sz w:val="22"/>
          <w:lang w:eastAsia="en-GB"/>
        </w:rPr>
      </w:pPr>
      <w:r w:rsidRPr="00ED36B4">
        <w:rPr>
          <w:rFonts w:eastAsia="Times New Roman" w:cs="Calibri Light"/>
          <w:color w:val="auto"/>
          <w:sz w:val="22"/>
          <w:lang w:val="fr-FR" w:eastAsia="en-GB"/>
        </w:rPr>
        <w:t>Communication </w:t>
      </w:r>
      <w:r w:rsidRPr="00ED36B4">
        <w:rPr>
          <w:rFonts w:eastAsia="Times New Roman" w:cs="Calibri Light"/>
          <w:color w:val="auto"/>
          <w:sz w:val="22"/>
          <w:lang w:eastAsia="en-GB"/>
        </w:rPr>
        <w:t> </w:t>
      </w:r>
    </w:p>
    <w:p w14:paraId="55F2D22D" w14:textId="77777777" w:rsidR="00D51839" w:rsidRPr="00ED36B4" w:rsidRDefault="00D51839" w:rsidP="00D51839">
      <w:pPr>
        <w:numPr>
          <w:ilvl w:val="0"/>
          <w:numId w:val="272"/>
        </w:numPr>
        <w:spacing w:after="0" w:line="240" w:lineRule="auto"/>
        <w:ind w:left="-3960" w:firstLine="1125"/>
        <w:jc w:val="both"/>
        <w:textAlignment w:val="baseline"/>
        <w:rPr>
          <w:rFonts w:eastAsia="Times New Roman" w:cs="Calibri Light"/>
          <w:color w:val="auto"/>
          <w:sz w:val="22"/>
          <w:lang w:eastAsia="en-GB"/>
        </w:rPr>
      </w:pPr>
      <w:r w:rsidRPr="00ED36B4">
        <w:rPr>
          <w:rFonts w:eastAsia="Times New Roman" w:cs="Calibri Light"/>
          <w:color w:val="auto"/>
          <w:sz w:val="22"/>
          <w:lang w:eastAsia="en-GB"/>
        </w:rPr>
        <w:t> </w:t>
      </w:r>
    </w:p>
    <w:p w14:paraId="5F75DE5E" w14:textId="77777777" w:rsidR="00D51839" w:rsidRDefault="00D51839" w:rsidP="00D51839">
      <w:pPr>
        <w:spacing w:after="0" w:line="240" w:lineRule="auto"/>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Other: ....................................................................................................................... </w:t>
      </w:r>
      <w:r w:rsidRPr="00ED36B4">
        <w:rPr>
          <w:rFonts w:eastAsia="Times New Roman" w:cs="Calibri Light"/>
          <w:color w:val="auto"/>
          <w:sz w:val="22"/>
          <w:lang w:eastAsia="en-GB"/>
        </w:rPr>
        <w:t> </w:t>
      </w:r>
    </w:p>
    <w:p w14:paraId="47E09AB5"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p>
    <w:p w14:paraId="0E9BF470" w14:textId="77777777" w:rsidR="00D51839" w:rsidRPr="00A71F71" w:rsidRDefault="00D51839" w:rsidP="00D51839">
      <w:pPr>
        <w:numPr>
          <w:ilvl w:val="0"/>
          <w:numId w:val="273"/>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b/>
          <w:bCs/>
          <w:color w:val="4472C4"/>
          <w:sz w:val="22"/>
          <w:lang w:val="hu-HU" w:eastAsia="en-GB"/>
        </w:rPr>
        <w:t>Identification of the affected information</w:t>
      </w:r>
      <w:r w:rsidRPr="00ED36B4">
        <w:rPr>
          <w:rFonts w:eastAsia="Times New Roman" w:cs="Calibri Light"/>
          <w:color w:val="4472C4"/>
          <w:sz w:val="22"/>
          <w:lang w:eastAsia="en-GB"/>
        </w:rPr>
        <w:t> </w:t>
      </w:r>
    </w:p>
    <w:p w14:paraId="0FFD28A2" w14:textId="77777777" w:rsidR="00D51839" w:rsidRPr="00ED36B4" w:rsidRDefault="00D51839" w:rsidP="00D51839">
      <w:pPr>
        <w:spacing w:after="0" w:line="240" w:lineRule="auto"/>
        <w:ind w:left="1080"/>
        <w:jc w:val="both"/>
        <w:textAlignment w:val="baseline"/>
        <w:rPr>
          <w:rFonts w:eastAsia="Times New Roman" w:cs="Calibri Light"/>
          <w:color w:val="auto"/>
          <w:sz w:val="22"/>
          <w:lang w:eastAsia="en-GB"/>
        </w:rPr>
      </w:pPr>
    </w:p>
    <w:p w14:paraId="7E0C8E50" w14:textId="77777777" w:rsidR="00D51839" w:rsidRPr="00ED36B4" w:rsidRDefault="00D51839" w:rsidP="00D51839">
      <w:pPr>
        <w:spacing w:after="0" w:line="240" w:lineRule="auto"/>
        <w:ind w:left="420"/>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val="hu-HU" w:eastAsia="en-GB"/>
        </w:rPr>
        <w:t>For the execution of the services derived from the fulfilment of the object of the Agreement and subject to the obligations stated in this Data Processing Agreement, the Data Processor will process the Personal Data described below:</w:t>
      </w:r>
      <w:r w:rsidRPr="00ED36B4">
        <w:rPr>
          <w:rFonts w:eastAsia="Times New Roman" w:cs="Calibri Light"/>
          <w:color w:val="auto"/>
          <w:sz w:val="22"/>
          <w:lang w:eastAsia="en-GB"/>
        </w:rPr>
        <w:t> </w:t>
      </w:r>
    </w:p>
    <w:p w14:paraId="42BC8D7F" w14:textId="77777777" w:rsidR="00D51839" w:rsidRPr="00ED36B4" w:rsidRDefault="00D51839" w:rsidP="00D51839">
      <w:pPr>
        <w:spacing w:after="0" w:line="240" w:lineRule="auto"/>
        <w:ind w:left="420"/>
        <w:jc w:val="both"/>
        <w:textAlignment w:val="baseline"/>
        <w:rPr>
          <w:rFonts w:ascii="Segoe UI" w:eastAsia="Times New Roman" w:hAnsi="Segoe UI" w:cs="Segoe UI"/>
          <w:color w:val="auto"/>
          <w:sz w:val="18"/>
          <w:szCs w:val="18"/>
          <w:lang w:eastAsia="en-GB"/>
        </w:rPr>
      </w:pPr>
      <w:r w:rsidRPr="00ED36B4">
        <w:rPr>
          <w:rFonts w:eastAsia="Times New Roman" w:cs="Calibri Light"/>
          <w:i/>
          <w:iCs/>
          <w:color w:val="auto"/>
          <w:sz w:val="22"/>
          <w:lang w:val="hu-HU" w:eastAsia="en-GB"/>
        </w:rPr>
        <w:t>(Please number all Personal Data processed e.g image, voice, nationality, name, surname, etc.)</w:t>
      </w:r>
      <w:r w:rsidRPr="00ED36B4">
        <w:rPr>
          <w:rFonts w:eastAsia="Times New Roman" w:cs="Calibri Light"/>
          <w:color w:val="auto"/>
          <w:sz w:val="22"/>
          <w:lang w:eastAsia="en-GB"/>
        </w:rPr>
        <w:t> </w:t>
      </w:r>
    </w:p>
    <w:p w14:paraId="568D137B" w14:textId="77777777" w:rsidR="00D51839" w:rsidRDefault="00D51839" w:rsidP="00D51839">
      <w:pPr>
        <w:spacing w:after="0" w:line="240" w:lineRule="auto"/>
        <w:ind w:left="1080"/>
        <w:jc w:val="both"/>
        <w:textAlignment w:val="baseline"/>
        <w:rPr>
          <w:rFonts w:eastAsia="Times New Roman" w:cs="Calibri Light"/>
          <w:color w:val="auto"/>
          <w:sz w:val="22"/>
          <w:lang w:eastAsia="en-GB"/>
        </w:rPr>
      </w:pPr>
      <w:r>
        <w:rPr>
          <w:rFonts w:eastAsia="Times New Roman" w:cs="Calibri Light"/>
          <w:noProof/>
          <w:color w:val="auto"/>
          <w:sz w:val="22"/>
          <w:lang w:eastAsia="en-GB"/>
        </w:rPr>
        <mc:AlternateContent>
          <mc:Choice Requires="wps">
            <w:drawing>
              <wp:anchor distT="0" distB="0" distL="114300" distR="114300" simplePos="0" relativeHeight="251663360" behindDoc="0" locked="0" layoutInCell="1" allowOverlap="1" wp14:anchorId="5CAAABEE" wp14:editId="1A92B0A4">
                <wp:simplePos x="0" y="0"/>
                <wp:positionH relativeFrom="column">
                  <wp:posOffset>291465</wp:posOffset>
                </wp:positionH>
                <wp:positionV relativeFrom="paragraph">
                  <wp:posOffset>45085</wp:posOffset>
                </wp:positionV>
                <wp:extent cx="5114925" cy="1228725"/>
                <wp:effectExtent l="0" t="0" r="28575" b="28575"/>
                <wp:wrapNone/>
                <wp:docPr id="681367775" name="Text Box 3"/>
                <wp:cNvGraphicFramePr/>
                <a:graphic xmlns:a="http://schemas.openxmlformats.org/drawingml/2006/main">
                  <a:graphicData uri="http://schemas.microsoft.com/office/word/2010/wordprocessingShape">
                    <wps:wsp>
                      <wps:cNvSpPr txBox="1"/>
                      <wps:spPr>
                        <a:xfrm>
                          <a:off x="0" y="0"/>
                          <a:ext cx="5114925" cy="1228725"/>
                        </a:xfrm>
                        <a:prstGeom prst="rect">
                          <a:avLst/>
                        </a:prstGeom>
                        <a:solidFill>
                          <a:schemeClr val="lt1"/>
                        </a:solidFill>
                        <a:ln w="6350">
                          <a:solidFill>
                            <a:prstClr val="black"/>
                          </a:solidFill>
                        </a:ln>
                      </wps:spPr>
                      <wps:txbx>
                        <w:txbxContent>
                          <w:p w14:paraId="35D004C7" w14:textId="77777777" w:rsidR="00D51839" w:rsidRPr="00ED36B4" w:rsidRDefault="00D51839" w:rsidP="00D51839">
                            <w:pPr>
                              <w:numPr>
                                <w:ilvl w:val="0"/>
                                <w:numId w:val="274"/>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Image</w:t>
                            </w:r>
                            <w:r w:rsidRPr="00ED36B4">
                              <w:rPr>
                                <w:rFonts w:eastAsia="Times New Roman" w:cs="Calibri Light"/>
                                <w:color w:val="auto"/>
                                <w:sz w:val="22"/>
                                <w:lang w:eastAsia="en-GB"/>
                              </w:rPr>
                              <w:t> </w:t>
                            </w:r>
                          </w:p>
                          <w:p w14:paraId="0854071C" w14:textId="77777777" w:rsidR="00D51839" w:rsidRPr="00ED36B4" w:rsidRDefault="00D51839" w:rsidP="00D51839">
                            <w:pPr>
                              <w:numPr>
                                <w:ilvl w:val="0"/>
                                <w:numId w:val="275"/>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voice</w:t>
                            </w:r>
                            <w:r w:rsidRPr="00ED36B4">
                              <w:rPr>
                                <w:rFonts w:eastAsia="Times New Roman" w:cs="Calibri Light"/>
                                <w:color w:val="auto"/>
                                <w:sz w:val="22"/>
                                <w:lang w:eastAsia="en-GB"/>
                              </w:rPr>
                              <w:t> </w:t>
                            </w:r>
                          </w:p>
                          <w:p w14:paraId="1AA17539" w14:textId="77777777" w:rsidR="00D51839" w:rsidRPr="00ED36B4" w:rsidRDefault="00D51839" w:rsidP="00D51839">
                            <w:pPr>
                              <w:numPr>
                                <w:ilvl w:val="0"/>
                                <w:numId w:val="276"/>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nationality</w:t>
                            </w:r>
                            <w:r w:rsidRPr="00ED36B4">
                              <w:rPr>
                                <w:rFonts w:eastAsia="Times New Roman" w:cs="Calibri Light"/>
                                <w:color w:val="auto"/>
                                <w:sz w:val="22"/>
                                <w:lang w:eastAsia="en-GB"/>
                              </w:rPr>
                              <w:t> </w:t>
                            </w:r>
                          </w:p>
                          <w:p w14:paraId="3F1ABA17" w14:textId="77777777" w:rsidR="00D51839" w:rsidRPr="00ED36B4" w:rsidRDefault="00D51839" w:rsidP="00D51839">
                            <w:pPr>
                              <w:numPr>
                                <w:ilvl w:val="0"/>
                                <w:numId w:val="277"/>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name </w:t>
                            </w:r>
                            <w:r w:rsidRPr="00ED36B4">
                              <w:rPr>
                                <w:rFonts w:eastAsia="Times New Roman" w:cs="Calibri Light"/>
                                <w:color w:val="auto"/>
                                <w:sz w:val="22"/>
                                <w:lang w:eastAsia="en-GB"/>
                              </w:rPr>
                              <w:t> </w:t>
                            </w:r>
                          </w:p>
                          <w:p w14:paraId="7F61C889" w14:textId="77777777" w:rsidR="00D51839" w:rsidRPr="00ED36B4" w:rsidRDefault="00D51839" w:rsidP="00D51839">
                            <w:pPr>
                              <w:numPr>
                                <w:ilvl w:val="0"/>
                                <w:numId w:val="278"/>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surname</w:t>
                            </w:r>
                            <w:r w:rsidRPr="00ED36B4">
                              <w:rPr>
                                <w:rFonts w:eastAsia="Times New Roman" w:cs="Calibri Light"/>
                                <w:color w:val="auto"/>
                                <w:sz w:val="22"/>
                                <w:lang w:eastAsia="en-GB"/>
                              </w:rPr>
                              <w:t> </w:t>
                            </w:r>
                          </w:p>
                          <w:p w14:paraId="65573B36" w14:textId="77777777" w:rsidR="00D51839" w:rsidRDefault="00D51839" w:rsidP="00D51839">
                            <w:pPr>
                              <w:numPr>
                                <w:ilvl w:val="0"/>
                                <w:numId w:val="279"/>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job title </w:t>
                            </w:r>
                            <w:r w:rsidRPr="00ED36B4">
                              <w:rPr>
                                <w:rFonts w:eastAsia="Times New Roman" w:cs="Calibri Light"/>
                                <w:color w:val="auto"/>
                                <w:sz w:val="22"/>
                                <w:lang w:eastAsia="en-GB"/>
                              </w:rPr>
                              <w:t> </w:t>
                            </w:r>
                          </w:p>
                          <w:p w14:paraId="5E8761CE" w14:textId="77777777" w:rsidR="00D51839" w:rsidRDefault="00D51839" w:rsidP="00D51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AAABEE" id="Text Box 3" o:spid="_x0000_s1028" type="#_x0000_t202" style="position:absolute;left:0;text-align:left;margin-left:22.95pt;margin-top:3.55pt;width:402.75pt;height:96.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" fillcolor="white [3201]" strokeweight=".5pt">
                <v:textbox>
                  <w:txbxContent>
                    <w:p w14:paraId="35D004C7" w14:textId="77777777" w:rsidR="00D51839" w:rsidRPr="00ED36B4" w:rsidRDefault="00D51839" w:rsidP="00D51839">
                      <w:pPr>
                        <w:numPr>
                          <w:ilvl w:val="0"/>
                          <w:numId w:val="274"/>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Image</w:t>
                      </w:r>
                      <w:r w:rsidRPr="00ED36B4">
                        <w:rPr>
                          <w:rFonts w:eastAsia="Times New Roman" w:cs="Calibri Light"/>
                          <w:color w:val="auto"/>
                          <w:sz w:val="22"/>
                          <w:lang w:eastAsia="en-GB"/>
                        </w:rPr>
                        <w:t> </w:t>
                      </w:r>
                    </w:p>
                    <w:p w14:paraId="0854071C" w14:textId="77777777" w:rsidR="00D51839" w:rsidRPr="00ED36B4" w:rsidRDefault="00D51839" w:rsidP="00D51839">
                      <w:pPr>
                        <w:numPr>
                          <w:ilvl w:val="0"/>
                          <w:numId w:val="275"/>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voice</w:t>
                      </w:r>
                      <w:r w:rsidRPr="00ED36B4">
                        <w:rPr>
                          <w:rFonts w:eastAsia="Times New Roman" w:cs="Calibri Light"/>
                          <w:color w:val="auto"/>
                          <w:sz w:val="22"/>
                          <w:lang w:eastAsia="en-GB"/>
                        </w:rPr>
                        <w:t> </w:t>
                      </w:r>
                    </w:p>
                    <w:p w14:paraId="1AA17539" w14:textId="77777777" w:rsidR="00D51839" w:rsidRPr="00ED36B4" w:rsidRDefault="00D51839" w:rsidP="00D51839">
                      <w:pPr>
                        <w:numPr>
                          <w:ilvl w:val="0"/>
                          <w:numId w:val="276"/>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nationality</w:t>
                      </w:r>
                      <w:r w:rsidRPr="00ED36B4">
                        <w:rPr>
                          <w:rFonts w:eastAsia="Times New Roman" w:cs="Calibri Light"/>
                          <w:color w:val="auto"/>
                          <w:sz w:val="22"/>
                          <w:lang w:eastAsia="en-GB"/>
                        </w:rPr>
                        <w:t> </w:t>
                      </w:r>
                    </w:p>
                    <w:p w14:paraId="3F1ABA17" w14:textId="77777777" w:rsidR="00D51839" w:rsidRPr="00ED36B4" w:rsidRDefault="00D51839" w:rsidP="00D51839">
                      <w:pPr>
                        <w:numPr>
                          <w:ilvl w:val="0"/>
                          <w:numId w:val="277"/>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name </w:t>
                      </w:r>
                      <w:r w:rsidRPr="00ED36B4">
                        <w:rPr>
                          <w:rFonts w:eastAsia="Times New Roman" w:cs="Calibri Light"/>
                          <w:color w:val="auto"/>
                          <w:sz w:val="22"/>
                          <w:lang w:eastAsia="en-GB"/>
                        </w:rPr>
                        <w:t> </w:t>
                      </w:r>
                    </w:p>
                    <w:p w14:paraId="7F61C889" w14:textId="77777777" w:rsidR="00D51839" w:rsidRPr="00ED36B4" w:rsidRDefault="00D51839" w:rsidP="00D51839">
                      <w:pPr>
                        <w:numPr>
                          <w:ilvl w:val="0"/>
                          <w:numId w:val="278"/>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surname</w:t>
                      </w:r>
                      <w:r w:rsidRPr="00ED36B4">
                        <w:rPr>
                          <w:rFonts w:eastAsia="Times New Roman" w:cs="Calibri Light"/>
                          <w:color w:val="auto"/>
                          <w:sz w:val="22"/>
                          <w:lang w:eastAsia="en-GB"/>
                        </w:rPr>
                        <w:t> </w:t>
                      </w:r>
                    </w:p>
                    <w:p w14:paraId="65573B36" w14:textId="77777777" w:rsidR="00D51839" w:rsidRDefault="00D51839" w:rsidP="00D51839">
                      <w:pPr>
                        <w:numPr>
                          <w:ilvl w:val="0"/>
                          <w:numId w:val="279"/>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job title </w:t>
                      </w:r>
                      <w:r w:rsidRPr="00ED36B4">
                        <w:rPr>
                          <w:rFonts w:eastAsia="Times New Roman" w:cs="Calibri Light"/>
                          <w:color w:val="auto"/>
                          <w:sz w:val="22"/>
                          <w:lang w:eastAsia="en-GB"/>
                        </w:rPr>
                        <w:t> </w:t>
                      </w:r>
                    </w:p>
                    <w:p w14:paraId="5E8761CE" w14:textId="77777777" w:rsidR="00D51839" w:rsidRDefault="00D51839" w:rsidP="00D51839"/>
                  </w:txbxContent>
                </v:textbox>
              </v:shape>
            </w:pict>
          </mc:Fallback>
        </mc:AlternateContent>
      </w:r>
    </w:p>
    <w:p w14:paraId="7D31476C" w14:textId="77777777" w:rsidR="00D51839" w:rsidRDefault="00D51839" w:rsidP="00D51839">
      <w:pPr>
        <w:spacing w:after="0" w:line="240" w:lineRule="auto"/>
        <w:ind w:left="1080"/>
        <w:jc w:val="both"/>
        <w:textAlignment w:val="baseline"/>
        <w:rPr>
          <w:rFonts w:eastAsia="Times New Roman" w:cs="Calibri Light"/>
          <w:color w:val="auto"/>
          <w:sz w:val="22"/>
          <w:lang w:eastAsia="en-GB"/>
        </w:rPr>
      </w:pPr>
    </w:p>
    <w:p w14:paraId="668DF018" w14:textId="77777777" w:rsidR="00D51839" w:rsidRDefault="00D51839" w:rsidP="00D51839">
      <w:pPr>
        <w:spacing w:after="0" w:line="240" w:lineRule="auto"/>
        <w:ind w:left="1080"/>
        <w:jc w:val="both"/>
        <w:textAlignment w:val="baseline"/>
        <w:rPr>
          <w:rFonts w:eastAsia="Times New Roman" w:cs="Calibri Light"/>
          <w:color w:val="auto"/>
          <w:sz w:val="22"/>
          <w:lang w:eastAsia="en-GB"/>
        </w:rPr>
      </w:pPr>
    </w:p>
    <w:p w14:paraId="6E40BE47" w14:textId="77777777" w:rsidR="00D51839" w:rsidRDefault="00D51839" w:rsidP="00D51839">
      <w:pPr>
        <w:spacing w:after="0" w:line="240" w:lineRule="auto"/>
        <w:ind w:left="1080"/>
        <w:jc w:val="both"/>
        <w:textAlignment w:val="baseline"/>
        <w:rPr>
          <w:rFonts w:eastAsia="Times New Roman" w:cs="Calibri Light"/>
          <w:color w:val="auto"/>
          <w:sz w:val="22"/>
          <w:lang w:eastAsia="en-GB"/>
        </w:rPr>
      </w:pPr>
    </w:p>
    <w:p w14:paraId="44D0A9C5" w14:textId="77777777" w:rsidR="00D51839" w:rsidRDefault="00D51839" w:rsidP="00D51839">
      <w:pPr>
        <w:spacing w:after="0" w:line="240" w:lineRule="auto"/>
        <w:ind w:left="1080"/>
        <w:jc w:val="both"/>
        <w:textAlignment w:val="baseline"/>
        <w:rPr>
          <w:rFonts w:eastAsia="Times New Roman" w:cs="Calibri Light"/>
          <w:color w:val="auto"/>
          <w:sz w:val="22"/>
          <w:lang w:eastAsia="en-GB"/>
        </w:rPr>
      </w:pPr>
    </w:p>
    <w:p w14:paraId="140DCDB3" w14:textId="77777777" w:rsidR="00D51839" w:rsidRDefault="00D51839" w:rsidP="00D51839">
      <w:pPr>
        <w:spacing w:after="0" w:line="240" w:lineRule="auto"/>
        <w:ind w:left="1080"/>
        <w:jc w:val="both"/>
        <w:textAlignment w:val="baseline"/>
        <w:rPr>
          <w:rFonts w:eastAsia="Times New Roman" w:cs="Calibri Light"/>
          <w:color w:val="auto"/>
          <w:sz w:val="22"/>
          <w:lang w:eastAsia="en-GB"/>
        </w:rPr>
      </w:pPr>
    </w:p>
    <w:p w14:paraId="70990B6A" w14:textId="77777777" w:rsidR="00D51839" w:rsidRDefault="00D51839" w:rsidP="00D51839">
      <w:pPr>
        <w:spacing w:after="0" w:line="240" w:lineRule="auto"/>
        <w:ind w:left="1080"/>
        <w:jc w:val="both"/>
        <w:textAlignment w:val="baseline"/>
        <w:rPr>
          <w:rFonts w:eastAsia="Times New Roman" w:cs="Calibri Light"/>
          <w:color w:val="auto"/>
          <w:sz w:val="22"/>
          <w:lang w:eastAsia="en-GB"/>
        </w:rPr>
      </w:pPr>
    </w:p>
    <w:p w14:paraId="3A57D4F9" w14:textId="77777777" w:rsidR="00D51839" w:rsidRDefault="00D51839" w:rsidP="00D51839">
      <w:pPr>
        <w:spacing w:after="0" w:line="240" w:lineRule="auto"/>
        <w:ind w:left="1080"/>
        <w:jc w:val="both"/>
        <w:textAlignment w:val="baseline"/>
        <w:rPr>
          <w:rFonts w:eastAsia="Times New Roman" w:cs="Calibri Light"/>
          <w:color w:val="auto"/>
          <w:sz w:val="22"/>
          <w:lang w:eastAsia="en-GB"/>
        </w:rPr>
      </w:pPr>
    </w:p>
    <w:p w14:paraId="56922AD9" w14:textId="77777777" w:rsidR="00D51839" w:rsidRPr="00ED36B4" w:rsidRDefault="00D51839" w:rsidP="00D51839">
      <w:pPr>
        <w:spacing w:after="0" w:line="240" w:lineRule="auto"/>
        <w:ind w:left="1080"/>
        <w:jc w:val="both"/>
        <w:textAlignment w:val="baseline"/>
        <w:rPr>
          <w:rFonts w:eastAsia="Times New Roman" w:cs="Calibri Light"/>
          <w:color w:val="auto"/>
          <w:sz w:val="22"/>
          <w:lang w:eastAsia="en-GB"/>
        </w:rPr>
      </w:pPr>
    </w:p>
    <w:p w14:paraId="4082B13B" w14:textId="77777777" w:rsidR="00D51839" w:rsidRPr="00A71F71" w:rsidRDefault="00D51839" w:rsidP="00D51839">
      <w:pPr>
        <w:numPr>
          <w:ilvl w:val="0"/>
          <w:numId w:val="280"/>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b/>
          <w:bCs/>
          <w:color w:val="4472C4"/>
          <w:sz w:val="22"/>
          <w:lang w:val="hu-HU" w:eastAsia="en-GB"/>
        </w:rPr>
        <w:t>Duration</w:t>
      </w:r>
      <w:r w:rsidRPr="00ED36B4">
        <w:rPr>
          <w:rFonts w:eastAsia="Times New Roman" w:cs="Calibri Light"/>
          <w:color w:val="4472C4"/>
          <w:sz w:val="22"/>
          <w:lang w:eastAsia="en-GB"/>
        </w:rPr>
        <w:t> </w:t>
      </w:r>
    </w:p>
    <w:p w14:paraId="70D5FB93" w14:textId="77777777" w:rsidR="00D51839" w:rsidRPr="00ED36B4" w:rsidRDefault="00D51839" w:rsidP="00D51839">
      <w:pPr>
        <w:spacing w:after="0" w:line="240" w:lineRule="auto"/>
        <w:ind w:left="1080"/>
        <w:jc w:val="both"/>
        <w:textAlignment w:val="baseline"/>
        <w:rPr>
          <w:rFonts w:eastAsia="Times New Roman" w:cs="Calibri Light"/>
          <w:color w:val="auto"/>
          <w:sz w:val="22"/>
          <w:lang w:eastAsia="en-GB"/>
        </w:rPr>
      </w:pPr>
    </w:p>
    <w:p w14:paraId="5C2119C2" w14:textId="77777777" w:rsidR="00D51839" w:rsidRDefault="00D51839" w:rsidP="00D51839">
      <w:pPr>
        <w:spacing w:after="0" w:line="240" w:lineRule="auto"/>
        <w:ind w:left="720"/>
        <w:jc w:val="both"/>
        <w:textAlignment w:val="baseline"/>
        <w:rPr>
          <w:rFonts w:eastAsia="Times New Roman" w:cs="Calibri Light"/>
          <w:color w:val="auto"/>
          <w:sz w:val="22"/>
          <w:lang w:eastAsia="en-GB"/>
        </w:rPr>
      </w:pPr>
      <w:r w:rsidRPr="00ED36B4">
        <w:rPr>
          <w:rFonts w:eastAsia="Times New Roman" w:cs="Calibri Light"/>
          <w:color w:val="auto"/>
          <w:sz w:val="22"/>
          <w:lang w:val="hu-HU" w:eastAsia="en-GB"/>
        </w:rPr>
        <w:t>This Data Processing Agreement shall enter into force upon being made and shall remain in force as long as the provision of services under the Agreement lasts.  </w:t>
      </w:r>
      <w:r w:rsidRPr="00ED36B4">
        <w:rPr>
          <w:rFonts w:eastAsia="Times New Roman" w:cs="Calibri Light"/>
          <w:color w:val="auto"/>
          <w:sz w:val="22"/>
          <w:lang w:eastAsia="en-GB"/>
        </w:rPr>
        <w:t> </w:t>
      </w:r>
    </w:p>
    <w:p w14:paraId="7CE5FBEB" w14:textId="77777777" w:rsidR="00D51839" w:rsidRPr="00ED36B4" w:rsidRDefault="00D51839" w:rsidP="00D51839">
      <w:pPr>
        <w:spacing w:after="0" w:line="240" w:lineRule="auto"/>
        <w:ind w:left="720"/>
        <w:jc w:val="both"/>
        <w:textAlignment w:val="baseline"/>
        <w:rPr>
          <w:rFonts w:ascii="Segoe UI" w:eastAsia="Times New Roman" w:hAnsi="Segoe UI" w:cs="Segoe UI"/>
          <w:color w:val="auto"/>
          <w:sz w:val="18"/>
          <w:szCs w:val="18"/>
          <w:lang w:eastAsia="en-GB"/>
        </w:rPr>
      </w:pPr>
    </w:p>
    <w:p w14:paraId="1DFE5B69" w14:textId="77777777" w:rsidR="00D51839" w:rsidRPr="00A71F71" w:rsidRDefault="00D51839" w:rsidP="00D51839">
      <w:pPr>
        <w:numPr>
          <w:ilvl w:val="0"/>
          <w:numId w:val="281"/>
        </w:numPr>
        <w:spacing w:after="0" w:line="240" w:lineRule="auto"/>
        <w:ind w:left="1080" w:firstLine="0"/>
        <w:jc w:val="both"/>
        <w:textAlignment w:val="baseline"/>
        <w:rPr>
          <w:rFonts w:eastAsia="Times New Roman" w:cs="Calibri Light"/>
          <w:color w:val="auto"/>
          <w:sz w:val="22"/>
          <w:lang w:eastAsia="en-GB"/>
        </w:rPr>
      </w:pPr>
      <w:r w:rsidRPr="00ED36B4">
        <w:rPr>
          <w:rFonts w:eastAsia="Times New Roman" w:cs="Calibri Light"/>
          <w:b/>
          <w:bCs/>
          <w:color w:val="4472C4"/>
          <w:sz w:val="22"/>
          <w:lang w:val="hu-HU" w:eastAsia="en-GB"/>
        </w:rPr>
        <w:t>Subcontracting</w:t>
      </w:r>
      <w:r w:rsidRPr="00ED36B4">
        <w:rPr>
          <w:rFonts w:eastAsia="Times New Roman" w:cs="Calibri Light"/>
          <w:color w:val="4472C4"/>
          <w:sz w:val="22"/>
          <w:lang w:eastAsia="en-GB"/>
        </w:rPr>
        <w:t> </w:t>
      </w:r>
    </w:p>
    <w:p w14:paraId="42059A7E" w14:textId="77777777" w:rsidR="00D51839" w:rsidRPr="00ED36B4" w:rsidRDefault="00D51839" w:rsidP="00D51839">
      <w:pPr>
        <w:spacing w:after="0" w:line="240" w:lineRule="auto"/>
        <w:ind w:left="1080"/>
        <w:jc w:val="both"/>
        <w:textAlignment w:val="baseline"/>
        <w:rPr>
          <w:rFonts w:eastAsia="Times New Roman" w:cs="Calibri Light"/>
          <w:color w:val="auto"/>
          <w:sz w:val="22"/>
          <w:lang w:eastAsia="en-GB"/>
        </w:rPr>
      </w:pPr>
    </w:p>
    <w:p w14:paraId="6C04BB52" w14:textId="77777777" w:rsidR="00D51839" w:rsidRPr="00ED36B4" w:rsidRDefault="00D51839" w:rsidP="00D51839">
      <w:pPr>
        <w:spacing w:after="0" w:line="240" w:lineRule="auto"/>
        <w:ind w:left="705"/>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val="hu-HU" w:eastAsia="en-GB"/>
        </w:rPr>
        <w:t>The Data Processor is authorized to subcontract the following processing:</w:t>
      </w:r>
      <w:r w:rsidRPr="00ED36B4">
        <w:rPr>
          <w:rFonts w:eastAsia="Times New Roman" w:cs="Calibri Light"/>
          <w:color w:val="auto"/>
          <w:sz w:val="22"/>
          <w:lang w:eastAsia="en-GB"/>
        </w:rPr>
        <w:t> </w:t>
      </w:r>
    </w:p>
    <w:p w14:paraId="0C933A0B" w14:textId="77777777" w:rsidR="00D51839" w:rsidRPr="00ED36B4" w:rsidRDefault="00D51839" w:rsidP="00D51839">
      <w:pPr>
        <w:spacing w:after="0" w:line="240" w:lineRule="auto"/>
        <w:ind w:left="705"/>
        <w:jc w:val="both"/>
        <w:textAlignment w:val="baseline"/>
        <w:rPr>
          <w:rFonts w:ascii="Segoe UI" w:eastAsia="Times New Roman" w:hAnsi="Segoe UI" w:cs="Segoe UI"/>
          <w:color w:val="auto"/>
          <w:sz w:val="18"/>
          <w:szCs w:val="18"/>
          <w:lang w:eastAsia="en-GB"/>
        </w:rPr>
      </w:pPr>
      <w:r w:rsidRPr="00ED36B4">
        <w:rPr>
          <w:rFonts w:eastAsia="Times New Roman" w:cs="Calibri Light"/>
          <w:i/>
          <w:iCs/>
          <w:color w:val="auto"/>
          <w:sz w:val="22"/>
          <w:lang w:val="hu-HU" w:eastAsia="en-GB"/>
        </w:rPr>
        <w:t>(please inform if there is going to be any data processing subcontracting)</w:t>
      </w:r>
      <w:r w:rsidRPr="00ED36B4">
        <w:rPr>
          <w:rFonts w:eastAsia="Times New Roman" w:cs="Calibri Light"/>
          <w:color w:val="auto"/>
          <w:sz w:val="22"/>
          <w:lang w:eastAsia="en-GB"/>
        </w:rPr>
        <w:t> </w:t>
      </w:r>
    </w:p>
    <w:p w14:paraId="07267837" w14:textId="77777777" w:rsidR="00D51839" w:rsidRPr="00ED36B4" w:rsidRDefault="00D51839" w:rsidP="00D51839">
      <w:pPr>
        <w:spacing w:after="0" w:line="240" w:lineRule="auto"/>
        <w:jc w:val="both"/>
        <w:textAlignment w:val="baseline"/>
        <w:rPr>
          <w:rFonts w:ascii="Segoe UI" w:eastAsia="Times New Roman" w:hAnsi="Segoe UI" w:cs="Segoe UI"/>
          <w:color w:val="auto"/>
          <w:sz w:val="18"/>
          <w:szCs w:val="18"/>
          <w:lang w:eastAsia="en-GB"/>
        </w:rPr>
      </w:pPr>
      <w:r w:rsidRPr="00ED36B4">
        <w:rPr>
          <w:rFonts w:eastAsia="Times New Roman" w:cs="Calibri Light"/>
          <w:color w:val="auto"/>
          <w:sz w:val="22"/>
          <w:lang w:eastAsia="en-GB"/>
        </w:rPr>
        <w:t> </w:t>
      </w:r>
    </w:p>
    <w:p w14:paraId="69DE7CA4" w14:textId="77777777" w:rsidR="00D51839" w:rsidRPr="00ED36B4" w:rsidRDefault="00D51839" w:rsidP="00D51839">
      <w:pPr>
        <w:spacing w:after="0" w:line="240" w:lineRule="auto"/>
        <w:ind w:left="345"/>
        <w:jc w:val="both"/>
        <w:textAlignment w:val="baseline"/>
        <w:rPr>
          <w:rFonts w:ascii="Segoe UI" w:eastAsia="Times New Roman" w:hAnsi="Segoe UI" w:cs="Segoe UI"/>
          <w:color w:val="auto"/>
          <w:sz w:val="18"/>
          <w:szCs w:val="18"/>
          <w:lang w:eastAsia="en-GB"/>
        </w:rPr>
      </w:pPr>
      <w:r>
        <w:rPr>
          <w:rFonts w:eastAsia="Times New Roman" w:cs="Calibri Light"/>
          <w:noProof/>
          <w:color w:val="auto"/>
          <w:sz w:val="24"/>
          <w:szCs w:val="24"/>
          <w:lang w:eastAsia="en-GB"/>
        </w:rPr>
        <mc:AlternateContent>
          <mc:Choice Requires="wps">
            <w:drawing>
              <wp:anchor distT="0" distB="0" distL="114300" distR="114300" simplePos="0" relativeHeight="251664384" behindDoc="0" locked="0" layoutInCell="1" allowOverlap="1" wp14:anchorId="088F3BA1" wp14:editId="79EF3DDE">
                <wp:simplePos x="0" y="0"/>
                <wp:positionH relativeFrom="column">
                  <wp:posOffset>453390</wp:posOffset>
                </wp:positionH>
                <wp:positionV relativeFrom="paragraph">
                  <wp:posOffset>13970</wp:posOffset>
                </wp:positionV>
                <wp:extent cx="5029200" cy="914400"/>
                <wp:effectExtent l="0" t="0" r="19050" b="19050"/>
                <wp:wrapNone/>
                <wp:docPr id="891084518" name="Text Box 4"/>
                <wp:cNvGraphicFramePr/>
                <a:graphic xmlns:a="http://schemas.openxmlformats.org/drawingml/2006/main">
                  <a:graphicData uri="http://schemas.microsoft.com/office/word/2010/wordprocessingShape">
                    <wps:wsp>
                      <wps:cNvSpPr txBox="1"/>
                      <wps:spPr>
                        <a:xfrm>
                          <a:off x="0" y="0"/>
                          <a:ext cx="5029200" cy="914400"/>
                        </a:xfrm>
                        <a:prstGeom prst="rect">
                          <a:avLst/>
                        </a:prstGeom>
                        <a:solidFill>
                          <a:schemeClr val="lt1"/>
                        </a:solidFill>
                        <a:ln w="6350">
                          <a:solidFill>
                            <a:prstClr val="black"/>
                          </a:solidFill>
                        </a:ln>
                      </wps:spPr>
                      <wps:txbx>
                        <w:txbxContent>
                          <w:p w14:paraId="01941BC6" w14:textId="77777777" w:rsidR="00D51839" w:rsidRDefault="00D51839" w:rsidP="00D51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8F3BA1" id="Text Box 4" o:spid="_x0000_s1029" type="#_x0000_t202" style="position:absolute;left:0;text-align:left;margin-left:35.7pt;margin-top:1.1pt;width:396pt;height:1in;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" fillcolor="white [3201]" strokeweight=".5pt">
                <v:textbox>
                  <w:txbxContent>
                    <w:p w14:paraId="01941BC6" w14:textId="77777777" w:rsidR="00D51839" w:rsidRDefault="00D51839" w:rsidP="00D51839"/>
                  </w:txbxContent>
                </v:textbox>
              </v:shape>
            </w:pict>
          </mc:Fallback>
        </mc:AlternateContent>
      </w:r>
      <w:r w:rsidRPr="00ED36B4">
        <w:rPr>
          <w:rFonts w:eastAsia="Times New Roman" w:cs="Calibri Light"/>
          <w:color w:val="auto"/>
          <w:sz w:val="24"/>
          <w:szCs w:val="24"/>
          <w:lang w:eastAsia="en-GB"/>
        </w:rPr>
        <w:t> </w:t>
      </w:r>
    </w:p>
    <w:p w14:paraId="1760954B" w14:textId="77777777" w:rsidR="00D51839" w:rsidRDefault="00D51839" w:rsidP="00D51839">
      <w:pPr>
        <w:widowControl w:val="0"/>
        <w:spacing w:before="1" w:after="0" w:line="240" w:lineRule="auto"/>
        <w:jc w:val="both"/>
        <w:rPr>
          <w:rFonts w:ascii="Arial" w:eastAsia="Arial" w:hAnsi="Arial" w:cs="Arial"/>
          <w:color w:val="auto"/>
          <w:sz w:val="22"/>
        </w:rPr>
      </w:pPr>
    </w:p>
    <w:p w14:paraId="6F4C1F6E" w14:textId="77777777" w:rsidR="00D51839" w:rsidRDefault="00D51839" w:rsidP="00D51839">
      <w:pPr>
        <w:widowControl w:val="0"/>
        <w:spacing w:before="1" w:after="0" w:line="240" w:lineRule="auto"/>
        <w:jc w:val="both"/>
        <w:rPr>
          <w:rFonts w:ascii="Arial" w:eastAsia="Arial" w:hAnsi="Arial" w:cs="Arial"/>
          <w:color w:val="auto"/>
          <w:sz w:val="22"/>
        </w:rPr>
      </w:pPr>
    </w:p>
    <w:p w14:paraId="565EC036" w14:textId="77777777" w:rsidR="00D51839" w:rsidRDefault="00D51839" w:rsidP="00D51839">
      <w:pPr>
        <w:widowControl w:val="0"/>
        <w:spacing w:before="1" w:after="0" w:line="240" w:lineRule="auto"/>
        <w:jc w:val="both"/>
        <w:rPr>
          <w:rFonts w:ascii="Arial" w:eastAsia="Arial" w:hAnsi="Arial" w:cs="Arial"/>
          <w:color w:val="auto"/>
          <w:sz w:val="22"/>
        </w:rPr>
      </w:pPr>
    </w:p>
    <w:p w14:paraId="0C00BE33" w14:textId="77777777" w:rsidR="00D51839" w:rsidRDefault="00D51839" w:rsidP="00D51839">
      <w:pPr>
        <w:widowControl w:val="0"/>
        <w:spacing w:before="1" w:after="0" w:line="240" w:lineRule="auto"/>
        <w:jc w:val="both"/>
        <w:rPr>
          <w:rFonts w:ascii="Arial" w:eastAsia="Arial" w:hAnsi="Arial" w:cs="Arial"/>
          <w:color w:val="auto"/>
          <w:sz w:val="22"/>
        </w:rPr>
      </w:pPr>
    </w:p>
    <w:p w14:paraId="138D5132" w14:textId="77777777" w:rsidR="00D51839" w:rsidRDefault="00D51839" w:rsidP="00D51839">
      <w:pPr>
        <w:widowControl w:val="0"/>
        <w:spacing w:before="1" w:after="0" w:line="240" w:lineRule="auto"/>
        <w:jc w:val="both"/>
        <w:rPr>
          <w:rFonts w:ascii="Arial" w:eastAsia="Arial" w:hAnsi="Arial" w:cs="Arial"/>
          <w:color w:val="auto"/>
          <w:sz w:val="22"/>
        </w:rPr>
      </w:pPr>
    </w:p>
    <w:p w14:paraId="2F709427" w14:textId="77777777" w:rsidR="00D51839" w:rsidRDefault="00D51839" w:rsidP="00D51839">
      <w:pPr>
        <w:widowControl w:val="0"/>
        <w:spacing w:before="1" w:after="0" w:line="240" w:lineRule="auto"/>
        <w:jc w:val="both"/>
        <w:rPr>
          <w:rFonts w:ascii="Arial" w:eastAsia="Arial" w:hAnsi="Arial" w:cs="Arial"/>
          <w:color w:val="auto"/>
          <w:sz w:val="22"/>
        </w:rPr>
      </w:pPr>
    </w:p>
    <w:p w14:paraId="0CF05D5C" w14:textId="77777777" w:rsidR="00D51839" w:rsidRDefault="00D51839" w:rsidP="00D51839">
      <w:pPr>
        <w:widowControl w:val="0"/>
        <w:spacing w:before="1" w:after="0" w:line="240" w:lineRule="auto"/>
        <w:jc w:val="both"/>
        <w:rPr>
          <w:rFonts w:ascii="Arial" w:eastAsia="Arial" w:hAnsi="Arial" w:cs="Arial"/>
          <w:color w:val="auto"/>
          <w:sz w:val="22"/>
        </w:rPr>
      </w:pPr>
    </w:p>
    <w:p w14:paraId="7C3A46F1" w14:textId="77777777" w:rsidR="00D51839" w:rsidRDefault="00D51839" w:rsidP="00D51839">
      <w:pPr>
        <w:widowControl w:val="0"/>
        <w:spacing w:before="1" w:after="0" w:line="240" w:lineRule="auto"/>
        <w:jc w:val="both"/>
        <w:rPr>
          <w:rFonts w:ascii="Arial" w:eastAsia="Arial" w:hAnsi="Arial" w:cs="Arial"/>
          <w:color w:val="auto"/>
          <w:sz w:val="22"/>
        </w:rPr>
      </w:pPr>
    </w:p>
    <w:p w14:paraId="237EABC9" w14:textId="77777777" w:rsidR="00D51839" w:rsidRDefault="00D51839" w:rsidP="00D51839">
      <w:pPr>
        <w:widowControl w:val="0"/>
        <w:spacing w:before="1" w:after="0" w:line="240" w:lineRule="auto"/>
        <w:jc w:val="both"/>
        <w:rPr>
          <w:rFonts w:ascii="Arial" w:eastAsia="Arial" w:hAnsi="Arial" w:cs="Arial"/>
          <w:color w:val="auto"/>
          <w:sz w:val="22"/>
        </w:rPr>
      </w:pPr>
    </w:p>
    <w:p w14:paraId="50BAB6B3" w14:textId="77777777" w:rsidR="00D51839" w:rsidRDefault="00D51839" w:rsidP="00D51839">
      <w:pPr>
        <w:widowControl w:val="0"/>
        <w:spacing w:before="1" w:after="0" w:line="240" w:lineRule="auto"/>
        <w:jc w:val="both"/>
        <w:rPr>
          <w:rFonts w:ascii="Arial" w:eastAsia="Arial" w:hAnsi="Arial" w:cs="Arial"/>
          <w:color w:val="auto"/>
          <w:sz w:val="22"/>
        </w:rPr>
      </w:pPr>
    </w:p>
    <w:p w14:paraId="15E75664" w14:textId="77777777" w:rsidR="00D51839" w:rsidRDefault="00D51839" w:rsidP="00D51839">
      <w:pPr>
        <w:widowControl w:val="0"/>
        <w:spacing w:before="1" w:after="0" w:line="240" w:lineRule="auto"/>
        <w:jc w:val="both"/>
        <w:rPr>
          <w:rFonts w:ascii="Arial" w:eastAsia="Arial" w:hAnsi="Arial" w:cs="Arial"/>
          <w:color w:val="auto"/>
          <w:sz w:val="22"/>
        </w:rPr>
      </w:pPr>
    </w:p>
    <w:bookmarkEnd w:id="59"/>
    <w:p w14:paraId="66E9F1B3" w14:textId="77777777" w:rsidR="00D51839" w:rsidRDefault="00D51839" w:rsidP="00D51839">
      <w:pPr>
        <w:widowControl w:val="0"/>
        <w:spacing w:before="1" w:after="0" w:line="240" w:lineRule="auto"/>
        <w:jc w:val="both"/>
        <w:rPr>
          <w:rFonts w:ascii="Arial" w:eastAsia="Arial" w:hAnsi="Arial" w:cs="Arial"/>
          <w:color w:val="auto"/>
          <w:sz w:val="22"/>
        </w:rPr>
      </w:pPr>
    </w:p>
    <w:p w14:paraId="527E8215" w14:textId="72005522" w:rsidR="007A4EF2" w:rsidRPr="006C4242" w:rsidRDefault="10D0A46E" w:rsidP="006C4242">
      <w:pPr>
        <w:pStyle w:val="EITUMHeading1"/>
        <w:pageBreakBefore/>
        <w:numPr>
          <w:ilvl w:val="0"/>
          <w:numId w:val="0"/>
        </w:numPr>
        <w:ind w:left="714"/>
      </w:pPr>
      <w:bookmarkStart w:id="65" w:name="_Toc206684776"/>
      <w:bookmarkEnd w:id="61"/>
      <w:r>
        <w:lastRenderedPageBreak/>
        <w:t xml:space="preserve">Annex 2. </w:t>
      </w:r>
      <w:r w:rsidR="11B93DE1">
        <w:t>Tenders</w:t>
      </w:r>
      <w:r w:rsidR="698D6775">
        <w:t>’</w:t>
      </w:r>
      <w:r w:rsidR="11B93DE1">
        <w:t xml:space="preserve"> submission form</w:t>
      </w:r>
      <w:bookmarkEnd w:id="60"/>
      <w:bookmarkEnd w:id="65"/>
    </w:p>
    <w:p w14:paraId="0BA6679F" w14:textId="77777777" w:rsidR="0013300D" w:rsidRPr="0013300D" w:rsidRDefault="0013300D" w:rsidP="0013300D">
      <w:pPr>
        <w:rPr>
          <w:lang w:eastAsia="sv-SE"/>
        </w:rPr>
      </w:pPr>
    </w:p>
    <w:p w14:paraId="5A513B44" w14:textId="77777777" w:rsidR="007A4EF2" w:rsidRDefault="007A4EF2" w:rsidP="009C7C8F">
      <w:pPr>
        <w:pStyle w:val="Subtitle"/>
        <w:spacing w:before="120" w:after="120" w:line="240" w:lineRule="auto"/>
        <w:jc w:val="center"/>
        <w:outlineLvl w:val="9"/>
        <w:rPr>
          <w:rFonts w:asciiTheme="minorHAnsi" w:hAnsiTheme="minorHAnsi"/>
          <w:b/>
          <w:bCs/>
          <w:color w:val="auto"/>
          <w:sz w:val="20"/>
          <w:szCs w:val="20"/>
        </w:rPr>
      </w:pPr>
      <w:r w:rsidRPr="004A13E8">
        <w:rPr>
          <w:rFonts w:asciiTheme="minorHAnsi" w:hAnsiTheme="minorHAnsi"/>
          <w:b/>
          <w:bCs/>
          <w:color w:val="auto"/>
          <w:sz w:val="20"/>
          <w:szCs w:val="20"/>
        </w:rPr>
        <w:t>Tender Submission Form</w:t>
      </w:r>
    </w:p>
    <w:p w14:paraId="3DBEDCC2" w14:textId="77777777" w:rsidR="0013300D" w:rsidRPr="0013300D" w:rsidRDefault="0013300D" w:rsidP="0013300D"/>
    <w:p w14:paraId="795B7F29" w14:textId="154A54AE" w:rsidR="007A4EF2" w:rsidRDefault="007A4EF2" w:rsidP="009C7C8F">
      <w:pPr>
        <w:pStyle w:val="Subtitle"/>
        <w:spacing w:before="120" w:after="120" w:line="240" w:lineRule="auto"/>
        <w:jc w:val="center"/>
        <w:outlineLvl w:val="9"/>
        <w:rPr>
          <w:rFonts w:asciiTheme="minorHAnsi" w:hAnsiTheme="minorHAnsi"/>
          <w:b/>
          <w:bCs/>
          <w:color w:val="auto"/>
          <w:sz w:val="20"/>
          <w:szCs w:val="20"/>
        </w:rPr>
      </w:pPr>
      <w:r w:rsidRPr="004A13E8">
        <w:rPr>
          <w:rFonts w:asciiTheme="minorHAnsi" w:hAnsiTheme="minorHAnsi"/>
          <w:b/>
          <w:bCs/>
          <w:color w:val="auto"/>
          <w:sz w:val="20"/>
          <w:szCs w:val="20"/>
        </w:rPr>
        <w:t xml:space="preserve">for the procedure </w:t>
      </w:r>
      <w:r w:rsidRPr="004C2F13">
        <w:rPr>
          <w:rFonts w:asciiTheme="minorHAnsi" w:hAnsiTheme="minorHAnsi"/>
          <w:b/>
          <w:bCs/>
          <w:color w:val="auto"/>
          <w:sz w:val="20"/>
          <w:szCs w:val="20"/>
        </w:rPr>
        <w:t xml:space="preserve">of </w:t>
      </w:r>
      <w:r w:rsidR="00FF64AC">
        <w:rPr>
          <w:rFonts w:asciiTheme="minorHAnsi" w:hAnsiTheme="minorHAnsi"/>
          <w:b/>
          <w:bCs/>
          <w:color w:val="auto"/>
          <w:sz w:val="20"/>
          <w:szCs w:val="20"/>
        </w:rPr>
        <w:t>the EIT Community Hub in Bulgaria</w:t>
      </w:r>
    </w:p>
    <w:p w14:paraId="3795D4BD" w14:textId="77777777" w:rsidR="0013300D" w:rsidRPr="0013300D" w:rsidRDefault="0013300D" w:rsidP="0013300D"/>
    <w:p w14:paraId="5BB89FE2" w14:textId="77777777" w:rsidR="007A4EF2" w:rsidRPr="004A13E8" w:rsidRDefault="007A4EF2" w:rsidP="007A4EF2">
      <w:pPr>
        <w:rPr>
          <w:rFonts w:cs="Calibri"/>
          <w:b/>
        </w:rPr>
      </w:pPr>
      <w:r w:rsidRPr="004A13E8">
        <w:rPr>
          <w:rFonts w:cs="Calibri"/>
          <w:b/>
        </w:rPr>
        <w:t xml:space="preserve">1. Tender submitted by </w:t>
      </w:r>
    </w:p>
    <w:tbl>
      <w:tblPr>
        <w:tblW w:w="964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21"/>
        <w:gridCol w:w="6524"/>
      </w:tblGrid>
      <w:tr w:rsidR="007A4EF2" w:rsidRPr="004A13E8" w14:paraId="050978E1" w14:textId="77777777" w:rsidTr="004E58F6">
        <w:trPr>
          <w:cantSplit/>
          <w:trHeight w:val="709"/>
        </w:trPr>
        <w:tc>
          <w:tcPr>
            <w:tcW w:w="3121" w:type="dxa"/>
            <w:tcBorders>
              <w:top w:val="single" w:sz="6" w:space="0" w:color="auto"/>
              <w:left w:val="single" w:sz="6" w:space="0" w:color="auto"/>
              <w:bottom w:val="single" w:sz="6" w:space="0" w:color="auto"/>
              <w:right w:val="single" w:sz="6" w:space="0" w:color="auto"/>
            </w:tcBorders>
            <w:hideMark/>
          </w:tcPr>
          <w:p w14:paraId="54DA9264" w14:textId="78087350" w:rsidR="007A4EF2" w:rsidRPr="004A13E8" w:rsidRDefault="007A4EF2" w:rsidP="000356EC">
            <w:pPr>
              <w:spacing w:before="120" w:after="120"/>
              <w:rPr>
                <w:rFonts w:cs="Calibri"/>
              </w:rPr>
            </w:pPr>
            <w:r w:rsidRPr="004A13E8">
              <w:rPr>
                <w:rFonts w:cs="Calibri"/>
                <w:b/>
              </w:rPr>
              <w:t xml:space="preserve">Name of legal entity </w:t>
            </w:r>
          </w:p>
        </w:tc>
        <w:tc>
          <w:tcPr>
            <w:tcW w:w="6524" w:type="dxa"/>
            <w:tcBorders>
              <w:top w:val="single" w:sz="6" w:space="0" w:color="auto"/>
              <w:left w:val="single" w:sz="6" w:space="0" w:color="auto"/>
              <w:bottom w:val="single" w:sz="6" w:space="0" w:color="auto"/>
              <w:right w:val="single" w:sz="6" w:space="0" w:color="auto"/>
            </w:tcBorders>
          </w:tcPr>
          <w:p w14:paraId="602EF8BE" w14:textId="77777777" w:rsidR="007A4EF2" w:rsidRPr="004A13E8" w:rsidRDefault="007A4EF2" w:rsidP="000356EC">
            <w:pPr>
              <w:spacing w:before="120" w:after="120"/>
              <w:rPr>
                <w:rFonts w:cs="Calibri"/>
                <w:b/>
              </w:rPr>
            </w:pPr>
          </w:p>
        </w:tc>
      </w:tr>
      <w:tr w:rsidR="007A4EF2" w:rsidRPr="004A13E8" w14:paraId="23BE8FD6" w14:textId="77777777" w:rsidTr="004E58F6">
        <w:trPr>
          <w:cantSplit/>
          <w:trHeight w:val="470"/>
        </w:trPr>
        <w:tc>
          <w:tcPr>
            <w:tcW w:w="3121" w:type="dxa"/>
            <w:tcBorders>
              <w:top w:val="single" w:sz="6" w:space="0" w:color="auto"/>
              <w:left w:val="single" w:sz="6" w:space="0" w:color="auto"/>
              <w:bottom w:val="single" w:sz="6" w:space="0" w:color="auto"/>
              <w:right w:val="single" w:sz="6" w:space="0" w:color="auto"/>
            </w:tcBorders>
            <w:hideMark/>
          </w:tcPr>
          <w:p w14:paraId="576EF9C6" w14:textId="77777777" w:rsidR="007A4EF2" w:rsidRPr="004A13E8" w:rsidRDefault="007A4EF2" w:rsidP="000356EC">
            <w:pPr>
              <w:spacing w:before="120" w:after="120"/>
              <w:rPr>
                <w:rFonts w:cs="Calibri"/>
              </w:rPr>
            </w:pPr>
            <w:r w:rsidRPr="004A13E8">
              <w:rPr>
                <w:rFonts w:cs="Calibri"/>
                <w:b/>
              </w:rPr>
              <w:t>Registered address</w:t>
            </w:r>
          </w:p>
        </w:tc>
        <w:tc>
          <w:tcPr>
            <w:tcW w:w="6524" w:type="dxa"/>
            <w:tcBorders>
              <w:top w:val="single" w:sz="6" w:space="0" w:color="auto"/>
              <w:left w:val="single" w:sz="6" w:space="0" w:color="auto"/>
              <w:bottom w:val="single" w:sz="6" w:space="0" w:color="auto"/>
              <w:right w:val="single" w:sz="6" w:space="0" w:color="auto"/>
            </w:tcBorders>
          </w:tcPr>
          <w:p w14:paraId="5770F6F2" w14:textId="77777777" w:rsidR="007A4EF2" w:rsidRPr="004A13E8" w:rsidRDefault="007A4EF2" w:rsidP="000356EC">
            <w:pPr>
              <w:spacing w:before="120" w:after="120"/>
              <w:rPr>
                <w:rFonts w:cs="Calibri"/>
                <w:b/>
              </w:rPr>
            </w:pPr>
          </w:p>
        </w:tc>
      </w:tr>
      <w:tr w:rsidR="007A4EF2" w:rsidRPr="004A13E8" w14:paraId="598B64B6" w14:textId="77777777" w:rsidTr="004E58F6">
        <w:trPr>
          <w:cantSplit/>
          <w:trHeight w:val="431"/>
        </w:trPr>
        <w:tc>
          <w:tcPr>
            <w:tcW w:w="3121" w:type="dxa"/>
            <w:tcBorders>
              <w:top w:val="single" w:sz="6" w:space="0" w:color="auto"/>
              <w:left w:val="single" w:sz="6" w:space="0" w:color="auto"/>
              <w:bottom w:val="single" w:sz="6" w:space="0" w:color="auto"/>
              <w:right w:val="single" w:sz="6" w:space="0" w:color="auto"/>
            </w:tcBorders>
            <w:hideMark/>
          </w:tcPr>
          <w:p w14:paraId="60A0CA20" w14:textId="77777777" w:rsidR="007A4EF2" w:rsidRPr="004A13E8" w:rsidRDefault="007A4EF2" w:rsidP="000356EC">
            <w:pPr>
              <w:spacing w:before="120" w:after="120"/>
              <w:rPr>
                <w:rFonts w:cs="Calibri"/>
              </w:rPr>
            </w:pPr>
            <w:r w:rsidRPr="004A13E8">
              <w:rPr>
                <w:rFonts w:cs="Calibri"/>
                <w:b/>
              </w:rPr>
              <w:t xml:space="preserve">Tax registration number </w:t>
            </w:r>
          </w:p>
        </w:tc>
        <w:tc>
          <w:tcPr>
            <w:tcW w:w="6524" w:type="dxa"/>
            <w:tcBorders>
              <w:top w:val="single" w:sz="6" w:space="0" w:color="auto"/>
              <w:left w:val="single" w:sz="6" w:space="0" w:color="auto"/>
              <w:bottom w:val="single" w:sz="6" w:space="0" w:color="auto"/>
              <w:right w:val="single" w:sz="6" w:space="0" w:color="auto"/>
            </w:tcBorders>
          </w:tcPr>
          <w:p w14:paraId="13770F1C" w14:textId="77777777" w:rsidR="007A4EF2" w:rsidRPr="004A13E8" w:rsidRDefault="007A4EF2" w:rsidP="000356EC">
            <w:pPr>
              <w:spacing w:before="120" w:after="120"/>
              <w:rPr>
                <w:rFonts w:cs="Calibri"/>
                <w:b/>
              </w:rPr>
            </w:pPr>
          </w:p>
        </w:tc>
      </w:tr>
    </w:tbl>
    <w:p w14:paraId="53A37527" w14:textId="77777777" w:rsidR="007A4EF2" w:rsidRPr="004A13E8" w:rsidRDefault="007A4EF2" w:rsidP="007A4EF2">
      <w:pPr>
        <w:rPr>
          <w:rFonts w:ascii="Arial" w:hAnsi="Arial" w:cs="Calibri"/>
          <w:b/>
          <w:szCs w:val="20"/>
        </w:rPr>
      </w:pPr>
    </w:p>
    <w:p w14:paraId="5EF8177C" w14:textId="77777777" w:rsidR="007A4EF2" w:rsidRPr="004A13E8" w:rsidRDefault="007A4EF2" w:rsidP="007A4EF2">
      <w:pPr>
        <w:rPr>
          <w:rFonts w:cs="Calibri"/>
          <w:b/>
        </w:rPr>
      </w:pPr>
      <w:r w:rsidRPr="004A13E8">
        <w:rPr>
          <w:rFonts w:cs="Calibri"/>
          <w:b/>
        </w:rPr>
        <w:t>2. Contact person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7371"/>
      </w:tblGrid>
      <w:tr w:rsidR="007A4EF2" w:rsidRPr="004A13E8" w14:paraId="60C06966" w14:textId="77777777" w:rsidTr="000356EC">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6EA9EAA1" w14:textId="77777777" w:rsidR="007A4EF2" w:rsidRPr="004A13E8" w:rsidRDefault="007A4EF2" w:rsidP="000356EC">
            <w:pPr>
              <w:keepNext/>
              <w:keepLines/>
              <w:spacing w:before="60" w:after="60"/>
              <w:rPr>
                <w:rFonts w:cs="Calibri"/>
                <w:b/>
              </w:rPr>
            </w:pPr>
            <w:r w:rsidRPr="004A13E8">
              <w:rPr>
                <w:rFonts w:cs="Calibri"/>
                <w:b/>
              </w:rPr>
              <w:t>Name</w:t>
            </w:r>
          </w:p>
        </w:tc>
        <w:tc>
          <w:tcPr>
            <w:tcW w:w="7371" w:type="dxa"/>
            <w:tcBorders>
              <w:top w:val="single" w:sz="6" w:space="0" w:color="auto"/>
              <w:left w:val="single" w:sz="6" w:space="0" w:color="auto"/>
              <w:bottom w:val="single" w:sz="6" w:space="0" w:color="auto"/>
              <w:right w:val="single" w:sz="6" w:space="0" w:color="auto"/>
            </w:tcBorders>
          </w:tcPr>
          <w:p w14:paraId="079B02A0" w14:textId="77777777" w:rsidR="007A4EF2" w:rsidRPr="004A13E8" w:rsidRDefault="007A4EF2" w:rsidP="000356EC">
            <w:pPr>
              <w:keepNext/>
              <w:keepLines/>
              <w:spacing w:before="60" w:after="60"/>
              <w:rPr>
                <w:rFonts w:cs="Calibri"/>
              </w:rPr>
            </w:pPr>
          </w:p>
        </w:tc>
      </w:tr>
      <w:tr w:rsidR="007A4EF2" w:rsidRPr="004A13E8" w14:paraId="75F51679" w14:textId="77777777" w:rsidTr="000356EC">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50984D83" w14:textId="77777777" w:rsidR="007A4EF2" w:rsidRPr="004A13E8" w:rsidRDefault="007A4EF2" w:rsidP="000356EC">
            <w:pPr>
              <w:keepNext/>
              <w:keepLines/>
              <w:spacing w:before="60" w:after="60"/>
              <w:rPr>
                <w:rFonts w:cs="Calibri"/>
                <w:b/>
              </w:rPr>
            </w:pPr>
            <w:r w:rsidRPr="004A13E8">
              <w:rPr>
                <w:rFonts w:cs="Calibri"/>
                <w:b/>
              </w:rPr>
              <w:t>Address</w:t>
            </w:r>
          </w:p>
        </w:tc>
        <w:tc>
          <w:tcPr>
            <w:tcW w:w="7371" w:type="dxa"/>
            <w:tcBorders>
              <w:top w:val="single" w:sz="6" w:space="0" w:color="auto"/>
              <w:left w:val="single" w:sz="6" w:space="0" w:color="auto"/>
              <w:bottom w:val="single" w:sz="6" w:space="0" w:color="auto"/>
              <w:right w:val="single" w:sz="6" w:space="0" w:color="auto"/>
            </w:tcBorders>
          </w:tcPr>
          <w:p w14:paraId="7DE28429" w14:textId="77777777" w:rsidR="007A4EF2" w:rsidRPr="004A13E8" w:rsidRDefault="007A4EF2" w:rsidP="000356EC">
            <w:pPr>
              <w:spacing w:before="60" w:after="60"/>
              <w:rPr>
                <w:rFonts w:cs="Calibri"/>
              </w:rPr>
            </w:pPr>
          </w:p>
        </w:tc>
      </w:tr>
      <w:tr w:rsidR="007A4EF2" w:rsidRPr="004A13E8" w14:paraId="07C129DE" w14:textId="77777777" w:rsidTr="000356EC">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566C0A47" w14:textId="77777777" w:rsidR="007A4EF2" w:rsidRPr="004A13E8" w:rsidRDefault="007A4EF2" w:rsidP="000356EC">
            <w:pPr>
              <w:keepNext/>
              <w:keepLines/>
              <w:spacing w:before="60" w:after="60"/>
              <w:rPr>
                <w:rFonts w:cs="Calibri"/>
                <w:b/>
              </w:rPr>
            </w:pPr>
            <w:r w:rsidRPr="004A13E8">
              <w:rPr>
                <w:rFonts w:cs="Calibri"/>
                <w:b/>
              </w:rPr>
              <w:t>Telephone</w:t>
            </w:r>
          </w:p>
        </w:tc>
        <w:tc>
          <w:tcPr>
            <w:tcW w:w="7371" w:type="dxa"/>
            <w:tcBorders>
              <w:top w:val="single" w:sz="6" w:space="0" w:color="auto"/>
              <w:left w:val="single" w:sz="6" w:space="0" w:color="auto"/>
              <w:bottom w:val="single" w:sz="6" w:space="0" w:color="auto"/>
              <w:right w:val="single" w:sz="6" w:space="0" w:color="auto"/>
            </w:tcBorders>
          </w:tcPr>
          <w:p w14:paraId="09D33C68" w14:textId="77777777" w:rsidR="007A4EF2" w:rsidRPr="004A13E8" w:rsidRDefault="007A4EF2" w:rsidP="000356EC">
            <w:pPr>
              <w:spacing w:before="60" w:after="60"/>
              <w:rPr>
                <w:rFonts w:cs="Calibri"/>
              </w:rPr>
            </w:pPr>
          </w:p>
        </w:tc>
      </w:tr>
      <w:tr w:rsidR="007A4EF2" w:rsidRPr="004A13E8" w14:paraId="7DEE5DA6" w14:textId="77777777" w:rsidTr="000356EC">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186FD316" w14:textId="77777777" w:rsidR="007A4EF2" w:rsidRPr="004A13E8" w:rsidRDefault="007A4EF2" w:rsidP="000356EC">
            <w:pPr>
              <w:keepNext/>
              <w:keepLines/>
              <w:spacing w:before="60" w:after="60"/>
              <w:rPr>
                <w:rFonts w:cs="Calibri"/>
              </w:rPr>
            </w:pPr>
            <w:r w:rsidRPr="004A13E8">
              <w:rPr>
                <w:rFonts w:cs="Calibri"/>
                <w:b/>
              </w:rPr>
              <w:t>E-mail address</w:t>
            </w:r>
          </w:p>
        </w:tc>
        <w:tc>
          <w:tcPr>
            <w:tcW w:w="7371" w:type="dxa"/>
            <w:tcBorders>
              <w:top w:val="single" w:sz="6" w:space="0" w:color="auto"/>
              <w:left w:val="single" w:sz="6" w:space="0" w:color="auto"/>
              <w:bottom w:val="single" w:sz="6" w:space="0" w:color="auto"/>
              <w:right w:val="single" w:sz="6" w:space="0" w:color="auto"/>
            </w:tcBorders>
          </w:tcPr>
          <w:p w14:paraId="1501B7A1" w14:textId="77777777" w:rsidR="007A4EF2" w:rsidRPr="004A13E8" w:rsidRDefault="007A4EF2" w:rsidP="000356EC">
            <w:pPr>
              <w:spacing w:before="60" w:after="60"/>
              <w:rPr>
                <w:rFonts w:cs="Calibri"/>
              </w:rPr>
            </w:pPr>
          </w:p>
        </w:tc>
      </w:tr>
    </w:tbl>
    <w:p w14:paraId="0AC8CD8A" w14:textId="77777777" w:rsidR="002300E8" w:rsidRDefault="002300E8" w:rsidP="007A4EF2">
      <w:pPr>
        <w:rPr>
          <w:rFonts w:cs="Calibri"/>
          <w:b/>
        </w:rPr>
      </w:pPr>
    </w:p>
    <w:p w14:paraId="516EFA87" w14:textId="65B27895" w:rsidR="007A4EF2" w:rsidRPr="004A13E8" w:rsidRDefault="007A4EF2" w:rsidP="007A4EF2">
      <w:pPr>
        <w:rPr>
          <w:rFonts w:cs="Calibri"/>
          <w:b/>
        </w:rPr>
      </w:pPr>
      <w:r w:rsidRPr="004A13E8">
        <w:rPr>
          <w:rFonts w:cs="Calibri"/>
          <w:b/>
        </w:rPr>
        <w:t>3. Statement</w:t>
      </w:r>
    </w:p>
    <w:p w14:paraId="02C86491" w14:textId="051717AE" w:rsidR="00113700" w:rsidRPr="0013300D" w:rsidRDefault="007A4EF2" w:rsidP="007A4EF2">
      <w:pPr>
        <w:keepNext/>
        <w:keepLines/>
        <w:widowControl w:val="0"/>
        <w:jc w:val="both"/>
        <w:rPr>
          <w:sz w:val="22"/>
        </w:rPr>
      </w:pPr>
      <w:r w:rsidRPr="004A13E8">
        <w:rPr>
          <w:sz w:val="22"/>
        </w:rPr>
        <w:t>I</w:t>
      </w:r>
      <w:r w:rsidR="00FF64AC">
        <w:rPr>
          <w:sz w:val="22"/>
        </w:rPr>
        <w:t>/we</w:t>
      </w:r>
      <w:r w:rsidRPr="004A13E8">
        <w:rPr>
          <w:sz w:val="22"/>
        </w:rPr>
        <w:t>, &lt;</w:t>
      </w:r>
      <w:r w:rsidRPr="009703CB">
        <w:rPr>
          <w:sz w:val="22"/>
          <w:highlight w:val="lightGray"/>
        </w:rPr>
        <w:t>name</w:t>
      </w:r>
      <w:r w:rsidR="00FF64AC" w:rsidRPr="009703CB">
        <w:rPr>
          <w:sz w:val="22"/>
          <w:highlight w:val="lightGray"/>
        </w:rPr>
        <w:t>(s</w:t>
      </w:r>
      <w:r w:rsidR="00FF64AC">
        <w:rPr>
          <w:sz w:val="22"/>
        </w:rPr>
        <w:t>)</w:t>
      </w:r>
      <w:r w:rsidRPr="004A13E8">
        <w:rPr>
          <w:sz w:val="22"/>
        </w:rPr>
        <w:t xml:space="preserve">&gt;, the undersigned, being the authorised signatory of the above </w:t>
      </w:r>
      <w:r w:rsidRPr="004C2F13">
        <w:rPr>
          <w:sz w:val="22"/>
        </w:rPr>
        <w:t>tenderer [</w:t>
      </w:r>
      <w:r w:rsidRPr="00D3541C">
        <w:rPr>
          <w:sz w:val="22"/>
          <w:highlight w:val="lightGray"/>
        </w:rPr>
        <w:t>for consortiums, this must include all consortium members</w:t>
      </w:r>
      <w:r w:rsidRPr="00291020">
        <w:rPr>
          <w:sz w:val="22"/>
        </w:rPr>
        <w:t>]</w:t>
      </w:r>
      <w:r w:rsidRPr="004C2F13">
        <w:rPr>
          <w:sz w:val="22"/>
        </w:rPr>
        <w:t>, hereby declare that we have examined and accept without reserve or restriction the entire content of the tender documentation for the above procurement procedure. We offer to provide the services requested in the tender documentation on the basis of the following, which comprise our financial offer and</w:t>
      </w:r>
      <w:r w:rsidRPr="00291020">
        <w:rPr>
          <w:sz w:val="22"/>
        </w:rPr>
        <w:t xml:space="preserve"> our technical offer [if applicable]</w:t>
      </w:r>
      <w:r w:rsidRPr="004C2F13">
        <w:rPr>
          <w:sz w:val="22"/>
        </w:rPr>
        <w:t>:</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6"/>
        <w:gridCol w:w="3827"/>
      </w:tblGrid>
      <w:tr w:rsidR="007A4EF2" w:rsidRPr="004A13E8" w14:paraId="4C27CB69" w14:textId="77777777" w:rsidTr="02ED53A9">
        <w:trPr>
          <w:jc w:val="center"/>
        </w:trPr>
        <w:tc>
          <w:tcPr>
            <w:tcW w:w="5386" w:type="dxa"/>
            <w:tcBorders>
              <w:top w:val="single" w:sz="4" w:space="0" w:color="auto"/>
              <w:left w:val="single" w:sz="4" w:space="0" w:color="auto"/>
              <w:bottom w:val="single" w:sz="4" w:space="0" w:color="auto"/>
              <w:right w:val="single" w:sz="4" w:space="0" w:color="auto"/>
            </w:tcBorders>
            <w:hideMark/>
          </w:tcPr>
          <w:p w14:paraId="4CBE4DBD" w14:textId="77777777" w:rsidR="007A4EF2" w:rsidRPr="004A13E8" w:rsidRDefault="007A4EF2" w:rsidP="000356EC">
            <w:pPr>
              <w:autoSpaceDE w:val="0"/>
              <w:autoSpaceDN w:val="0"/>
              <w:adjustRightInd w:val="0"/>
              <w:spacing w:after="0"/>
              <w:jc w:val="center"/>
              <w:rPr>
                <w:rFonts w:ascii="Calibri" w:hAnsi="Calibri"/>
                <w:b/>
                <w:bCs/>
                <w:sz w:val="22"/>
              </w:rPr>
            </w:pPr>
            <w:r w:rsidRPr="004A13E8">
              <w:rPr>
                <w:rFonts w:ascii="Calibri" w:hAnsi="Calibri"/>
                <w:b/>
                <w:bCs/>
                <w:sz w:val="22"/>
              </w:rPr>
              <w:t>Award criteria</w:t>
            </w:r>
          </w:p>
        </w:tc>
        <w:tc>
          <w:tcPr>
            <w:tcW w:w="3827" w:type="dxa"/>
            <w:tcBorders>
              <w:top w:val="single" w:sz="4" w:space="0" w:color="auto"/>
              <w:left w:val="single" w:sz="4" w:space="0" w:color="auto"/>
              <w:bottom w:val="single" w:sz="4" w:space="0" w:color="auto"/>
              <w:right w:val="single" w:sz="4" w:space="0" w:color="auto"/>
            </w:tcBorders>
            <w:hideMark/>
          </w:tcPr>
          <w:p w14:paraId="3BB93B61" w14:textId="77777777" w:rsidR="007A4EF2" w:rsidRPr="004A13E8" w:rsidRDefault="007A4EF2" w:rsidP="000356EC">
            <w:pPr>
              <w:autoSpaceDE w:val="0"/>
              <w:autoSpaceDN w:val="0"/>
              <w:adjustRightInd w:val="0"/>
              <w:jc w:val="center"/>
              <w:rPr>
                <w:rFonts w:ascii="Calibri" w:hAnsi="Calibri"/>
                <w:b/>
                <w:bCs/>
                <w:sz w:val="22"/>
              </w:rPr>
            </w:pPr>
            <w:r w:rsidRPr="004A13E8">
              <w:rPr>
                <w:rFonts w:ascii="Calibri" w:hAnsi="Calibri"/>
                <w:b/>
                <w:bCs/>
                <w:sz w:val="22"/>
              </w:rPr>
              <w:t>Tenderer’s Offer</w:t>
            </w:r>
          </w:p>
        </w:tc>
      </w:tr>
      <w:tr w:rsidR="007A4EF2" w:rsidRPr="004A13E8" w14:paraId="30F1FD30" w14:textId="77777777" w:rsidTr="02ED53A9">
        <w:trPr>
          <w:jc w:val="center"/>
        </w:trPr>
        <w:tc>
          <w:tcPr>
            <w:tcW w:w="5386" w:type="dxa"/>
            <w:tcBorders>
              <w:top w:val="single" w:sz="4" w:space="0" w:color="auto"/>
              <w:left w:val="single" w:sz="4" w:space="0" w:color="auto"/>
              <w:bottom w:val="single" w:sz="4" w:space="0" w:color="auto"/>
              <w:right w:val="single" w:sz="4" w:space="0" w:color="auto"/>
            </w:tcBorders>
            <w:hideMark/>
          </w:tcPr>
          <w:p w14:paraId="2DB34673" w14:textId="77777777" w:rsidR="007A4EF2" w:rsidRPr="004C2F13" w:rsidRDefault="007A4EF2" w:rsidP="004E58F6">
            <w:pPr>
              <w:autoSpaceDE w:val="0"/>
              <w:autoSpaceDN w:val="0"/>
              <w:adjustRightInd w:val="0"/>
              <w:spacing w:line="240" w:lineRule="auto"/>
              <w:jc w:val="both"/>
              <w:rPr>
                <w:rFonts w:ascii="Calibri" w:hAnsi="Calibri"/>
                <w:b/>
                <w:bCs/>
                <w:i/>
                <w:iCs/>
                <w:sz w:val="22"/>
              </w:rPr>
            </w:pPr>
            <w:r w:rsidRPr="004C2F13">
              <w:rPr>
                <w:rFonts w:ascii="Calibri" w:hAnsi="Calibri"/>
                <w:b/>
                <w:bCs/>
                <w:i/>
                <w:iCs/>
                <w:sz w:val="22"/>
              </w:rPr>
              <w:t>Financial offer:</w:t>
            </w:r>
          </w:p>
          <w:p w14:paraId="51A2724F" w14:textId="0ACB42A8" w:rsidR="007A4EF2" w:rsidRPr="004C2F13" w:rsidRDefault="007A4EF2" w:rsidP="004E58F6">
            <w:pPr>
              <w:autoSpaceDE w:val="0"/>
              <w:autoSpaceDN w:val="0"/>
              <w:adjustRightInd w:val="0"/>
              <w:spacing w:line="240" w:lineRule="auto"/>
              <w:jc w:val="both"/>
              <w:rPr>
                <w:rFonts w:ascii="Calibri" w:hAnsi="Calibri"/>
                <w:sz w:val="22"/>
              </w:rPr>
            </w:pPr>
            <w:r w:rsidRPr="00291020">
              <w:rPr>
                <w:sz w:val="22"/>
              </w:rPr>
              <w:lastRenderedPageBreak/>
              <w:t>&lt;</w:t>
            </w:r>
            <w:r w:rsidRPr="00291020">
              <w:rPr>
                <w:rFonts w:cs="Calibri"/>
                <w:sz w:val="22"/>
              </w:rPr>
              <w:t>presented in EUR (</w:t>
            </w:r>
            <w:r w:rsidR="00A07250">
              <w:rPr>
                <w:rFonts w:cs="Calibri"/>
                <w:sz w:val="22"/>
              </w:rPr>
              <w:t>gross</w:t>
            </w:r>
            <w:r w:rsidRPr="00291020">
              <w:rPr>
                <w:rFonts w:cs="Calibri"/>
                <w:sz w:val="22"/>
              </w:rPr>
              <w:t xml:space="preserve"> </w:t>
            </w:r>
            <w:r w:rsidRPr="00A07250">
              <w:rPr>
                <w:rFonts w:cs="Calibri"/>
                <w:sz w:val="22"/>
              </w:rPr>
              <w:t xml:space="preserve">amount, </w:t>
            </w:r>
            <w:r w:rsidR="00A07250" w:rsidRPr="00A07250">
              <w:rPr>
                <w:rFonts w:cs="Calibri"/>
                <w:sz w:val="22"/>
              </w:rPr>
              <w:t>excl</w:t>
            </w:r>
            <w:r w:rsidR="00A07250">
              <w:rPr>
                <w:rFonts w:cs="Calibri"/>
                <w:sz w:val="22"/>
              </w:rPr>
              <w:t>.</w:t>
            </w:r>
            <w:r w:rsidRPr="00195199">
              <w:rPr>
                <w:rFonts w:cs="Calibri"/>
                <w:sz w:val="22"/>
              </w:rPr>
              <w:t xml:space="preserve"> VAT)</w:t>
            </w:r>
            <w:r w:rsidRPr="00195199">
              <w:rPr>
                <w:sz w:val="22"/>
              </w:rPr>
              <w:t>&gt;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00813F1" w14:textId="1874A519" w:rsidR="007A4EF2" w:rsidRPr="004C2F13" w:rsidRDefault="0F7F78E6" w:rsidP="02ED53A9">
            <w:pPr>
              <w:autoSpaceDE w:val="0"/>
              <w:autoSpaceDN w:val="0"/>
              <w:adjustRightInd w:val="0"/>
              <w:jc w:val="center"/>
              <w:rPr>
                <w:rFonts w:ascii="Calibri" w:hAnsi="Calibri"/>
                <w:sz w:val="22"/>
              </w:rPr>
            </w:pPr>
            <w:r w:rsidRPr="02ED53A9">
              <w:rPr>
                <w:rFonts w:ascii="Calibri" w:hAnsi="Calibri"/>
                <w:sz w:val="22"/>
              </w:rPr>
              <w:lastRenderedPageBreak/>
              <w:t>X EUR</w:t>
            </w:r>
          </w:p>
        </w:tc>
      </w:tr>
      <w:tr w:rsidR="007A4EF2" w:rsidRPr="004A13E8" w14:paraId="45E56DA3" w14:textId="77777777" w:rsidTr="02ED53A9">
        <w:trPr>
          <w:jc w:val="center"/>
        </w:trPr>
        <w:tc>
          <w:tcPr>
            <w:tcW w:w="5386" w:type="dxa"/>
            <w:tcBorders>
              <w:top w:val="single" w:sz="4" w:space="0" w:color="auto"/>
              <w:left w:val="single" w:sz="4" w:space="0" w:color="auto"/>
              <w:bottom w:val="single" w:sz="4" w:space="0" w:color="auto"/>
              <w:right w:val="single" w:sz="4" w:space="0" w:color="auto"/>
            </w:tcBorders>
          </w:tcPr>
          <w:p w14:paraId="7CC0535F" w14:textId="4E58CC03" w:rsidR="007A4EF2" w:rsidRPr="004C2F13" w:rsidRDefault="007A4EF2" w:rsidP="004E58F6">
            <w:pPr>
              <w:autoSpaceDE w:val="0"/>
              <w:autoSpaceDN w:val="0"/>
              <w:adjustRightInd w:val="0"/>
              <w:spacing w:after="0"/>
              <w:jc w:val="both"/>
              <w:rPr>
                <w:rFonts w:ascii="Calibri" w:hAnsi="Calibri"/>
                <w:b/>
                <w:bCs/>
                <w:i/>
                <w:iCs/>
                <w:sz w:val="22"/>
              </w:rPr>
            </w:pPr>
            <w:r w:rsidRPr="00291020">
              <w:rPr>
                <w:rFonts w:ascii="Calibri" w:hAnsi="Calibri"/>
                <w:b/>
                <w:bCs/>
                <w:i/>
                <w:iCs/>
                <w:sz w:val="22"/>
              </w:rPr>
              <w:t xml:space="preserve">Technical offer: </w:t>
            </w:r>
          </w:p>
        </w:tc>
        <w:tc>
          <w:tcPr>
            <w:tcW w:w="3827" w:type="dxa"/>
            <w:tcBorders>
              <w:top w:val="single" w:sz="4" w:space="0" w:color="auto"/>
              <w:left w:val="single" w:sz="4" w:space="0" w:color="auto"/>
              <w:bottom w:val="single" w:sz="4" w:space="0" w:color="auto"/>
              <w:right w:val="single" w:sz="4" w:space="0" w:color="auto"/>
            </w:tcBorders>
          </w:tcPr>
          <w:p w14:paraId="33C66642" w14:textId="77777777" w:rsidR="00BD787F" w:rsidRDefault="00BD787F" w:rsidP="00FF64AC">
            <w:pPr>
              <w:autoSpaceDE w:val="0"/>
              <w:autoSpaceDN w:val="0"/>
              <w:adjustRightInd w:val="0"/>
              <w:spacing w:after="0" w:line="240" w:lineRule="auto"/>
              <w:jc w:val="both"/>
              <w:rPr>
                <w:rFonts w:ascii="Calibri" w:hAnsi="Calibri"/>
                <w:b/>
                <w:bCs/>
                <w:i/>
                <w:iCs/>
                <w:sz w:val="22"/>
              </w:rPr>
            </w:pPr>
          </w:p>
          <w:p w14:paraId="42B19659" w14:textId="3C71DDD4" w:rsidR="00BD787F" w:rsidRDefault="00BD787F" w:rsidP="00FF64AC">
            <w:pPr>
              <w:autoSpaceDE w:val="0"/>
              <w:autoSpaceDN w:val="0"/>
              <w:adjustRightInd w:val="0"/>
              <w:spacing w:after="0" w:line="240" w:lineRule="auto"/>
              <w:jc w:val="both"/>
              <w:rPr>
                <w:rFonts w:ascii="Calibri" w:hAnsi="Calibri"/>
                <w:b/>
                <w:bCs/>
                <w:i/>
                <w:iCs/>
                <w:sz w:val="22"/>
              </w:rPr>
            </w:pPr>
            <w:r>
              <w:rPr>
                <w:rFonts w:ascii="Calibri" w:hAnsi="Calibri"/>
                <w:b/>
                <w:bCs/>
                <w:i/>
                <w:iCs/>
                <w:sz w:val="22"/>
              </w:rPr>
              <w:t xml:space="preserve">Name of the proposed expert(s) to become EIT Community Officer(s): </w:t>
            </w:r>
          </w:p>
          <w:p w14:paraId="0343E447" w14:textId="77777777" w:rsidR="00BD787F" w:rsidRDefault="00BD787F" w:rsidP="00FF64AC">
            <w:pPr>
              <w:autoSpaceDE w:val="0"/>
              <w:autoSpaceDN w:val="0"/>
              <w:adjustRightInd w:val="0"/>
              <w:spacing w:after="0" w:line="240" w:lineRule="auto"/>
              <w:jc w:val="both"/>
              <w:rPr>
                <w:rFonts w:ascii="Calibri" w:hAnsi="Calibri"/>
                <w:b/>
                <w:bCs/>
                <w:i/>
                <w:iCs/>
                <w:sz w:val="22"/>
              </w:rPr>
            </w:pPr>
          </w:p>
          <w:p w14:paraId="3DBD3EB4" w14:textId="77777777" w:rsidR="00BD787F" w:rsidRDefault="00BD787F" w:rsidP="00FF64AC">
            <w:pPr>
              <w:autoSpaceDE w:val="0"/>
              <w:autoSpaceDN w:val="0"/>
              <w:adjustRightInd w:val="0"/>
              <w:spacing w:after="0" w:line="240" w:lineRule="auto"/>
              <w:jc w:val="both"/>
              <w:rPr>
                <w:rFonts w:ascii="Calibri" w:hAnsi="Calibri"/>
                <w:b/>
                <w:bCs/>
                <w:i/>
                <w:iCs/>
                <w:sz w:val="22"/>
              </w:rPr>
            </w:pPr>
          </w:p>
          <w:p w14:paraId="50ABC71A" w14:textId="77777777" w:rsidR="00BD787F" w:rsidRDefault="00BD787F" w:rsidP="00FF64AC">
            <w:pPr>
              <w:autoSpaceDE w:val="0"/>
              <w:autoSpaceDN w:val="0"/>
              <w:adjustRightInd w:val="0"/>
              <w:spacing w:after="0" w:line="240" w:lineRule="auto"/>
              <w:jc w:val="both"/>
              <w:rPr>
                <w:rFonts w:ascii="Calibri" w:hAnsi="Calibri"/>
                <w:b/>
                <w:bCs/>
                <w:i/>
                <w:iCs/>
                <w:sz w:val="22"/>
              </w:rPr>
            </w:pPr>
          </w:p>
          <w:p w14:paraId="1FFD9C29" w14:textId="4DECE698" w:rsidR="00FF64AC" w:rsidRDefault="00FF64AC" w:rsidP="008300EB">
            <w:pPr>
              <w:autoSpaceDE w:val="0"/>
              <w:autoSpaceDN w:val="0"/>
              <w:adjustRightInd w:val="0"/>
              <w:spacing w:after="0" w:line="240" w:lineRule="auto"/>
              <w:jc w:val="both"/>
              <w:rPr>
                <w:rFonts w:ascii="Calibri" w:hAnsi="Calibri"/>
                <w:b/>
                <w:bCs/>
                <w:i/>
                <w:iCs/>
                <w:sz w:val="22"/>
              </w:rPr>
            </w:pPr>
            <w:r>
              <w:rPr>
                <w:rFonts w:ascii="Calibri" w:hAnsi="Calibri"/>
                <w:b/>
                <w:bCs/>
                <w:i/>
                <w:iCs/>
                <w:sz w:val="22"/>
              </w:rPr>
              <w:t>Find attached the</w:t>
            </w:r>
            <w:r w:rsidR="008C170A">
              <w:rPr>
                <w:rFonts w:ascii="Calibri" w:hAnsi="Calibri"/>
                <w:b/>
                <w:bCs/>
                <w:i/>
                <w:iCs/>
                <w:sz w:val="22"/>
              </w:rPr>
              <w:t xml:space="preserve"> e</w:t>
            </w:r>
            <w:r w:rsidR="008C170A" w:rsidRPr="008C170A">
              <w:rPr>
                <w:rFonts w:ascii="Calibri" w:hAnsi="Calibri"/>
                <w:b/>
                <w:bCs/>
                <w:i/>
                <w:iCs/>
                <w:sz w:val="22"/>
              </w:rPr>
              <w:t>vidence of official registration in Bulgaria</w:t>
            </w:r>
            <w:r w:rsidR="008C170A">
              <w:rPr>
                <w:rFonts w:ascii="Calibri" w:hAnsi="Calibri"/>
                <w:b/>
                <w:bCs/>
                <w:i/>
                <w:iCs/>
                <w:sz w:val="22"/>
              </w:rPr>
              <w:t xml:space="preserve"> as well as the</w:t>
            </w:r>
            <w:r w:rsidR="008C170A" w:rsidRPr="008C170A">
              <w:rPr>
                <w:rFonts w:ascii="Calibri" w:hAnsi="Calibri"/>
                <w:b/>
                <w:bCs/>
                <w:i/>
                <w:iCs/>
                <w:sz w:val="22"/>
              </w:rPr>
              <w:t xml:space="preserve"> </w:t>
            </w:r>
            <w:r>
              <w:rPr>
                <w:rFonts w:ascii="Calibri" w:hAnsi="Calibri"/>
                <w:b/>
                <w:bCs/>
                <w:i/>
                <w:iCs/>
                <w:sz w:val="22"/>
              </w:rPr>
              <w:t>documents proposed for evaluation, based on the award criteria (article 4.2)</w:t>
            </w:r>
            <w:r w:rsidR="008300EB">
              <w:rPr>
                <w:rFonts w:ascii="Calibri" w:hAnsi="Calibri"/>
                <w:b/>
                <w:bCs/>
                <w:i/>
                <w:iCs/>
                <w:sz w:val="22"/>
              </w:rPr>
              <w:t xml:space="preserve">, including </w:t>
            </w:r>
            <w:r w:rsidR="008300EB" w:rsidRPr="00646A80">
              <w:rPr>
                <w:rFonts w:ascii="Calibri" w:hAnsi="Calibri"/>
                <w:b/>
                <w:bCs/>
                <w:i/>
                <w:iCs/>
                <w:sz w:val="22"/>
              </w:rPr>
              <w:t xml:space="preserve">the </w:t>
            </w:r>
            <w:r w:rsidRPr="00646A80">
              <w:rPr>
                <w:rFonts w:ascii="Calibri" w:hAnsi="Calibri"/>
                <w:b/>
                <w:bCs/>
                <w:i/>
                <w:iCs/>
                <w:sz w:val="22"/>
              </w:rPr>
              <w:t xml:space="preserve">Proposed activity plan </w:t>
            </w:r>
            <w:r w:rsidR="006C4242" w:rsidRPr="00646A80">
              <w:rPr>
                <w:rFonts w:ascii="Calibri" w:hAnsi="Calibri"/>
                <w:b/>
                <w:bCs/>
                <w:i/>
                <w:iCs/>
                <w:sz w:val="22"/>
              </w:rPr>
              <w:t>(based on annex 4)</w:t>
            </w:r>
            <w:r w:rsidR="003D4345" w:rsidRPr="00646A80">
              <w:rPr>
                <w:rFonts w:ascii="Calibri" w:hAnsi="Calibri"/>
                <w:b/>
                <w:bCs/>
                <w:i/>
                <w:iCs/>
                <w:sz w:val="22"/>
              </w:rPr>
              <w:t xml:space="preserve"> and</w:t>
            </w:r>
            <w:r w:rsidR="003D4345">
              <w:rPr>
                <w:rFonts w:ascii="Calibri" w:hAnsi="Calibri"/>
                <w:b/>
                <w:bCs/>
                <w:i/>
                <w:iCs/>
                <w:sz w:val="22"/>
              </w:rPr>
              <w:t xml:space="preserve"> the Experience of the proposed expert(s) checklist. </w:t>
            </w:r>
          </w:p>
          <w:p w14:paraId="40E5AB32" w14:textId="0A953CA2" w:rsidR="007A4EF2" w:rsidRPr="004E58F6" w:rsidRDefault="007A4EF2" w:rsidP="00FF64AC">
            <w:pPr>
              <w:autoSpaceDE w:val="0"/>
              <w:autoSpaceDN w:val="0"/>
              <w:adjustRightInd w:val="0"/>
              <w:spacing w:after="0" w:line="240" w:lineRule="auto"/>
              <w:jc w:val="both"/>
              <w:rPr>
                <w:rFonts w:ascii="Calibri" w:hAnsi="Calibri"/>
                <w:b/>
                <w:bCs/>
                <w:i/>
                <w:iCs/>
                <w:sz w:val="22"/>
              </w:rPr>
            </w:pPr>
          </w:p>
        </w:tc>
      </w:tr>
    </w:tbl>
    <w:p w14:paraId="6274FEAE" w14:textId="77777777" w:rsidR="0013300D" w:rsidRDefault="0013300D" w:rsidP="0013300D">
      <w:pPr>
        <w:rPr>
          <w:b/>
          <w:bCs/>
          <w:lang w:eastAsia="sv-SE"/>
        </w:rPr>
      </w:pPr>
    </w:p>
    <w:p w14:paraId="4ACEDF1E" w14:textId="7457AC2C" w:rsidR="0013300D" w:rsidRDefault="0013300D" w:rsidP="0013300D">
      <w:pPr>
        <w:rPr>
          <w:b/>
          <w:bCs/>
          <w:lang w:eastAsia="sv-SE"/>
        </w:rPr>
      </w:pPr>
      <w:r w:rsidRPr="00732815">
        <w:rPr>
          <w:b/>
          <w:bCs/>
          <w:lang w:eastAsia="sv-SE"/>
        </w:rPr>
        <w:t>Signed:</w:t>
      </w:r>
    </w:p>
    <w:p w14:paraId="7D525FEE" w14:textId="77777777" w:rsidR="0013300D" w:rsidRPr="00732815" w:rsidRDefault="0013300D" w:rsidP="0013300D">
      <w:pPr>
        <w:rPr>
          <w:b/>
          <w:bCs/>
          <w:lang w:eastAsia="sv-SE"/>
        </w:rPr>
      </w:pPr>
    </w:p>
    <w:p w14:paraId="5C372C17" w14:textId="2F3D3A90" w:rsidR="0013300D" w:rsidRPr="006C4242" w:rsidRDefault="0013300D" w:rsidP="0013300D">
      <w:pPr>
        <w:rPr>
          <w:sz w:val="22"/>
          <w:highlight w:val="lightGray"/>
        </w:rPr>
      </w:pPr>
      <w:r w:rsidRPr="00E04485">
        <w:rPr>
          <w:sz w:val="22"/>
          <w:highlight w:val="lightGray"/>
        </w:rPr>
        <w:t xml:space="preserve">[Signature of </w:t>
      </w:r>
      <w:r w:rsidR="004E58F6">
        <w:rPr>
          <w:sz w:val="22"/>
          <w:highlight w:val="lightGray"/>
        </w:rPr>
        <w:t xml:space="preserve">legal </w:t>
      </w:r>
      <w:r w:rsidRPr="00E04485">
        <w:rPr>
          <w:sz w:val="22"/>
          <w:highlight w:val="lightGray"/>
        </w:rPr>
        <w:t>representative</w:t>
      </w:r>
      <w:r w:rsidR="006C4242" w:rsidRPr="006C4242">
        <w:rPr>
          <w:sz w:val="22"/>
          <w:highlight w:val="lightGray"/>
        </w:rPr>
        <w:t>(s)</w:t>
      </w:r>
      <w:r w:rsidRPr="006C4242">
        <w:rPr>
          <w:sz w:val="22"/>
          <w:highlight w:val="lightGray"/>
        </w:rPr>
        <w:t>]</w:t>
      </w:r>
    </w:p>
    <w:p w14:paraId="01F2C520" w14:textId="375AD724" w:rsidR="0013300D" w:rsidRPr="004E58F6" w:rsidRDefault="0013300D" w:rsidP="0013300D">
      <w:pPr>
        <w:rPr>
          <w:sz w:val="22"/>
          <w:highlight w:val="lightGray"/>
        </w:rPr>
      </w:pPr>
      <w:r w:rsidRPr="004E58F6">
        <w:rPr>
          <w:sz w:val="22"/>
          <w:highlight w:val="lightGray"/>
        </w:rPr>
        <w:t>[</w:t>
      </w:r>
      <w:r w:rsidRPr="00E04485">
        <w:rPr>
          <w:sz w:val="22"/>
          <w:highlight w:val="lightGray"/>
        </w:rPr>
        <w:t xml:space="preserve">Position of </w:t>
      </w:r>
      <w:r w:rsidR="004E58F6">
        <w:rPr>
          <w:sz w:val="22"/>
          <w:highlight w:val="lightGray"/>
        </w:rPr>
        <w:t xml:space="preserve">legal </w:t>
      </w:r>
      <w:r w:rsidRPr="00E04485">
        <w:rPr>
          <w:sz w:val="22"/>
          <w:highlight w:val="lightGray"/>
        </w:rPr>
        <w:t>representative</w:t>
      </w:r>
      <w:r w:rsidR="006C4242">
        <w:rPr>
          <w:sz w:val="22"/>
          <w:highlight w:val="lightGray"/>
        </w:rPr>
        <w:t xml:space="preserve"> (s)</w:t>
      </w:r>
      <w:r w:rsidR="004E58F6" w:rsidRPr="004E58F6">
        <w:rPr>
          <w:sz w:val="22"/>
          <w:highlight w:val="lightGray"/>
        </w:rPr>
        <w:t>, if applicable</w:t>
      </w:r>
      <w:r w:rsidRPr="004E58F6">
        <w:rPr>
          <w:sz w:val="22"/>
          <w:highlight w:val="lightGray"/>
        </w:rPr>
        <w:t>]</w:t>
      </w:r>
      <w:bookmarkStart w:id="66" w:name="_Toc1847429349"/>
    </w:p>
    <w:p w14:paraId="6287A8A0" w14:textId="77777777" w:rsidR="0013300D" w:rsidRDefault="0013300D" w:rsidP="0013300D">
      <w:pPr>
        <w:rPr>
          <w:lang w:eastAsia="sv-SE"/>
        </w:rPr>
      </w:pPr>
    </w:p>
    <w:p w14:paraId="1BE2E5AA" w14:textId="77777777" w:rsidR="004E58F6" w:rsidRPr="0013300D" w:rsidRDefault="004E58F6" w:rsidP="0013300D">
      <w:pPr>
        <w:rPr>
          <w:lang w:eastAsia="sv-SE"/>
        </w:rPr>
      </w:pPr>
    </w:p>
    <w:p w14:paraId="36100ED5" w14:textId="13ABA227" w:rsidR="007A4EF2" w:rsidRPr="006C4242" w:rsidRDefault="10D0A46E" w:rsidP="006C4242">
      <w:pPr>
        <w:pStyle w:val="EITUMHeading1"/>
        <w:pageBreakBefore/>
        <w:numPr>
          <w:ilvl w:val="0"/>
          <w:numId w:val="0"/>
        </w:numPr>
        <w:ind w:left="714"/>
      </w:pPr>
      <w:bookmarkStart w:id="67" w:name="_Toc206684777"/>
      <w:r>
        <w:lastRenderedPageBreak/>
        <w:t xml:space="preserve">Annex 3. </w:t>
      </w:r>
      <w:r w:rsidR="1AE3A701">
        <w:t>Tender</w:t>
      </w:r>
      <w:r w:rsidR="26462BB3">
        <w:t>er’</w:t>
      </w:r>
      <w:r w:rsidR="1AE3A701">
        <w:t>s declaration form</w:t>
      </w:r>
      <w:bookmarkEnd w:id="66"/>
      <w:bookmarkEnd w:id="67"/>
    </w:p>
    <w:p w14:paraId="2115C052" w14:textId="77777777" w:rsidR="007A4EF2" w:rsidRPr="004C2F13" w:rsidRDefault="007A4EF2" w:rsidP="007A4EF2">
      <w:pPr>
        <w:jc w:val="right"/>
        <w:rPr>
          <w:rFonts w:ascii="Calibri" w:hAnsi="Calibri" w:cs="Arial"/>
        </w:rPr>
      </w:pPr>
      <w:r w:rsidRPr="00291020">
        <w:rPr>
          <w:rFonts w:ascii="Calibri" w:hAnsi="Calibri" w:cs="Arial"/>
        </w:rPr>
        <w:t>&lt;Date&gt;</w:t>
      </w:r>
    </w:p>
    <w:p w14:paraId="5A7FD371" w14:textId="77777777" w:rsidR="007A4EF2" w:rsidRPr="004C2F13" w:rsidRDefault="007A4EF2" w:rsidP="007A4EF2">
      <w:pPr>
        <w:jc w:val="right"/>
        <w:rPr>
          <w:rFonts w:ascii="Calibri" w:hAnsi="Calibri" w:cs="Arial"/>
        </w:rPr>
      </w:pPr>
      <w:r w:rsidRPr="00291020">
        <w:rPr>
          <w:rFonts w:ascii="Calibri" w:hAnsi="Calibri" w:cs="Arial"/>
        </w:rPr>
        <w:t>&lt;Name and address of Contracting Authority</w:t>
      </w:r>
      <w:r w:rsidRPr="00291020" w:rsidDel="007A4557">
        <w:rPr>
          <w:rFonts w:ascii="Calibri" w:hAnsi="Calibri" w:cs="Arial"/>
        </w:rPr>
        <w:t xml:space="preserve"> </w:t>
      </w:r>
      <w:r w:rsidRPr="00291020">
        <w:rPr>
          <w:rFonts w:ascii="Calibri" w:hAnsi="Calibri" w:cs="Arial"/>
        </w:rPr>
        <w:t>&gt;</w:t>
      </w:r>
    </w:p>
    <w:p w14:paraId="74DF8517" w14:textId="77777777" w:rsidR="007A4EF2" w:rsidRPr="004C2F13" w:rsidRDefault="007A4EF2" w:rsidP="007A4EF2">
      <w:pPr>
        <w:jc w:val="right"/>
        <w:rPr>
          <w:rFonts w:ascii="Calibri" w:hAnsi="Calibri" w:cs="Arial"/>
        </w:rPr>
      </w:pPr>
    </w:p>
    <w:p w14:paraId="3E01CAE7" w14:textId="77777777" w:rsidR="007A4EF2" w:rsidRPr="004C2F13" w:rsidRDefault="1BDD2CF0" w:rsidP="006C6102">
      <w:pPr>
        <w:rPr>
          <w:rFonts w:ascii="Calibri" w:hAnsi="Calibri" w:cs="Arial"/>
          <w:i/>
        </w:rPr>
      </w:pPr>
      <w:r w:rsidRPr="262F3D7E">
        <w:rPr>
          <w:rFonts w:ascii="Calibri" w:hAnsi="Calibri" w:cs="Arial"/>
          <w:b/>
          <w:bCs/>
        </w:rPr>
        <w:t>Subject:</w:t>
      </w:r>
      <w:r w:rsidRPr="262F3D7E">
        <w:rPr>
          <w:rFonts w:ascii="Calibri" w:hAnsi="Calibri" w:cs="Arial"/>
        </w:rPr>
        <w:t xml:space="preserve"> </w:t>
      </w:r>
      <w:r w:rsidRPr="262F3D7E">
        <w:rPr>
          <w:rFonts w:ascii="Calibri" w:hAnsi="Calibri" w:cs="Arial"/>
          <w:i/>
          <w:iCs/>
        </w:rPr>
        <w:t>&lt;Please include here the title of the procurement procedure&gt;</w:t>
      </w:r>
    </w:p>
    <w:p w14:paraId="3C40144F" w14:textId="77777777" w:rsidR="007A4EF2" w:rsidRPr="00CD1BD0" w:rsidRDefault="007A4EF2" w:rsidP="007A4EF2">
      <w:pPr>
        <w:jc w:val="center"/>
        <w:rPr>
          <w:rFonts w:ascii="Calibri" w:hAnsi="Calibri" w:cs="Arial"/>
          <w:b/>
          <w:lang w:val="es-ES"/>
        </w:rPr>
      </w:pPr>
      <w:r w:rsidRPr="00CD1BD0">
        <w:rPr>
          <w:rFonts w:ascii="Calibri" w:hAnsi="Calibri" w:cs="Arial"/>
          <w:b/>
          <w:lang w:val="es-ES"/>
        </w:rPr>
        <w:t>TENDERER’S DECLARATION</w:t>
      </w:r>
    </w:p>
    <w:p w14:paraId="7C37F164" w14:textId="77777777" w:rsidR="00FF5263" w:rsidRPr="00CD1BD0" w:rsidRDefault="00FF5263" w:rsidP="00FF5263">
      <w:pPr>
        <w:rPr>
          <w:rFonts w:ascii="Calibri" w:hAnsi="Calibri" w:cs="Arial"/>
          <w:lang w:val="es-ES"/>
        </w:rPr>
      </w:pPr>
      <w:proofErr w:type="spellStart"/>
      <w:r w:rsidRPr="00CD1BD0">
        <w:rPr>
          <w:rFonts w:ascii="Calibri" w:hAnsi="Calibri" w:cs="Arial"/>
          <w:lang w:val="es-ES"/>
        </w:rPr>
        <w:t>Dear</w:t>
      </w:r>
      <w:proofErr w:type="spellEnd"/>
      <w:r w:rsidRPr="00CD1BD0">
        <w:rPr>
          <w:rFonts w:ascii="Calibri" w:hAnsi="Calibri" w:cs="Arial"/>
          <w:lang w:val="es-ES"/>
        </w:rPr>
        <w:t xml:space="preserve"> Sir/</w:t>
      </w:r>
      <w:proofErr w:type="spellStart"/>
      <w:r w:rsidRPr="00CD1BD0">
        <w:rPr>
          <w:rFonts w:ascii="Calibri" w:hAnsi="Calibri" w:cs="Arial"/>
          <w:lang w:val="es-ES"/>
        </w:rPr>
        <w:t>Madam</w:t>
      </w:r>
      <w:proofErr w:type="spellEnd"/>
      <w:r w:rsidRPr="00CD1BD0">
        <w:rPr>
          <w:rFonts w:ascii="Calibri" w:hAnsi="Calibri" w:cs="Arial"/>
          <w:lang w:val="es-ES"/>
        </w:rPr>
        <w:t>,</w:t>
      </w:r>
    </w:p>
    <w:p w14:paraId="093488DC" w14:textId="4D6966C3" w:rsidR="00FF5263" w:rsidRPr="00014BC6" w:rsidRDefault="00FF5263" w:rsidP="00FF5263">
      <w:pPr>
        <w:rPr>
          <w:rFonts w:ascii="Calibri" w:hAnsi="Calibri" w:cs="Arial"/>
        </w:rPr>
      </w:pPr>
      <w:r w:rsidRPr="004C2F13">
        <w:rPr>
          <w:rFonts w:ascii="Calibri" w:hAnsi="Calibri" w:cs="Arial"/>
        </w:rPr>
        <w:t xml:space="preserve">In response to your </w:t>
      </w:r>
      <w:r w:rsidR="004E58F6">
        <w:rPr>
          <w:rFonts w:ascii="Calibri" w:hAnsi="Calibri" w:cs="Arial"/>
        </w:rPr>
        <w:t>request for proposals</w:t>
      </w:r>
      <w:r w:rsidRPr="004C2F13">
        <w:rPr>
          <w:rFonts w:ascii="Calibri" w:hAnsi="Calibri" w:cs="Arial"/>
        </w:rPr>
        <w:t xml:space="preserve"> for the above contract I, </w:t>
      </w:r>
      <w:r w:rsidRPr="00291020">
        <w:rPr>
          <w:rFonts w:ascii="Calibri" w:hAnsi="Calibri" w:cs="Arial"/>
        </w:rPr>
        <w:t xml:space="preserve">&lt; Name and position of </w:t>
      </w:r>
      <w:r w:rsidR="004E58F6">
        <w:rPr>
          <w:rFonts w:ascii="Calibri" w:hAnsi="Calibri" w:cs="Arial"/>
        </w:rPr>
        <w:t xml:space="preserve">natural person or </w:t>
      </w:r>
      <w:r w:rsidRPr="00291020">
        <w:rPr>
          <w:rFonts w:ascii="Calibri" w:hAnsi="Calibri" w:cs="Arial"/>
        </w:rPr>
        <w:t>authorised representative of the firm&gt;</w:t>
      </w:r>
      <w:r w:rsidRPr="004C2F13">
        <w:rPr>
          <w:rFonts w:ascii="Calibri" w:hAnsi="Calibri" w:cs="Arial"/>
        </w:rPr>
        <w:t>, hereby</w:t>
      </w:r>
      <w:r w:rsidRPr="00014BC6">
        <w:rPr>
          <w:rFonts w:ascii="Calibri" w:hAnsi="Calibri" w:cs="Arial"/>
        </w:rPr>
        <w:t xml:space="preserve"> declare that we:</w:t>
      </w:r>
      <w:r w:rsidRPr="00014BC6" w:rsidDel="00F818AC">
        <w:rPr>
          <w:rFonts w:ascii="Calibri" w:hAnsi="Calibri" w:cs="Arial"/>
        </w:rPr>
        <w:t xml:space="preserve">  </w:t>
      </w:r>
    </w:p>
    <w:p w14:paraId="3F731964" w14:textId="77777777" w:rsidR="00FF5263" w:rsidRPr="00014BC6" w:rsidRDefault="00FF5263" w:rsidP="00FF5263">
      <w:pPr>
        <w:rPr>
          <w:rFonts w:ascii="Calibri" w:hAnsi="Calibri" w:cs="Arial"/>
        </w:rPr>
      </w:pPr>
      <w:r w:rsidRPr="00014BC6">
        <w:rPr>
          <w:rFonts w:ascii="Calibri" w:hAnsi="Calibri" w:cs="Arial"/>
        </w:rPr>
        <w:t>are submitting this tender for this contract. We confirm that we are not participating in any other tender for the same contract in any form (as in a consortium or as an individual candidate);</w:t>
      </w:r>
    </w:p>
    <w:p w14:paraId="3DA1F762" w14:textId="77777777" w:rsidR="00FF5263" w:rsidRPr="00014BC6" w:rsidRDefault="00FF5263" w:rsidP="00FF5263">
      <w:pPr>
        <w:rPr>
          <w:rFonts w:ascii="Calibri" w:hAnsi="Calibri" w:cs="Arial"/>
        </w:rPr>
      </w:pPr>
      <w:r w:rsidRPr="00014BC6">
        <w:rPr>
          <w:rFonts w:ascii="Calibri" w:hAnsi="Calibri" w:cs="Arial"/>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the Contracting Authority immediately if there is any change in the above circumstances at any stage during the implementation of the tasks; </w:t>
      </w:r>
    </w:p>
    <w:p w14:paraId="099C2D37" w14:textId="77777777" w:rsidR="00FF5263" w:rsidRPr="00014BC6" w:rsidRDefault="00FF5263" w:rsidP="00FF5263">
      <w:pPr>
        <w:rPr>
          <w:rFonts w:ascii="Calibri" w:hAnsi="Calibri" w:cs="Arial"/>
        </w:rPr>
      </w:pPr>
      <w:r w:rsidRPr="00014BC6">
        <w:rPr>
          <w:rFonts w:ascii="Calibri" w:hAnsi="Calibri" w:cs="Arial"/>
        </w:rPr>
        <w:t xml:space="preserve">we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477F5CD0" w14:textId="462A7FD9" w:rsidR="00FF5263" w:rsidRPr="00014BC6" w:rsidRDefault="00FF5263" w:rsidP="00FF5263">
      <w:pPr>
        <w:rPr>
          <w:rFonts w:ascii="Calibri" w:hAnsi="Calibri" w:cs="Arial"/>
        </w:rPr>
      </w:pPr>
      <w:r w:rsidRPr="00014BC6">
        <w:rPr>
          <w:rFonts w:ascii="Calibri" w:hAnsi="Calibri" w:cs="Arial"/>
        </w:rPr>
        <w:t xml:space="preserve">we accept that during the implementation of the contract and for four years after the completion of the contract, the Contracting Authority has the right for the purposes of safeguarding its financial interests, the proposal and the contract of the supplier may be transferred to internal as well as external audit services. </w:t>
      </w:r>
    </w:p>
    <w:p w14:paraId="7C187C7D" w14:textId="77777777" w:rsidR="00FF5263" w:rsidRPr="00014BC6" w:rsidRDefault="00FF5263" w:rsidP="00FF5263">
      <w:pPr>
        <w:rPr>
          <w:rFonts w:ascii="Calibri" w:hAnsi="Calibri" w:cs="Arial"/>
        </w:rPr>
      </w:pPr>
    </w:p>
    <w:p w14:paraId="526CBAF3" w14:textId="77777777" w:rsidR="00FF5263" w:rsidRPr="00014BC6" w:rsidRDefault="00FF5263" w:rsidP="00FF5263">
      <w:pPr>
        <w:rPr>
          <w:rFonts w:ascii="Calibri" w:hAnsi="Calibri" w:cs="Arial"/>
        </w:rPr>
      </w:pPr>
      <w:r w:rsidRPr="00014BC6">
        <w:rPr>
          <w:rFonts w:ascii="Calibri" w:hAnsi="Calibri" w:cs="Arial"/>
        </w:rPr>
        <w:t>We understand that if the information provided is proved false, the award may be considered null and void.</w:t>
      </w:r>
    </w:p>
    <w:p w14:paraId="304CD9B7" w14:textId="77777777" w:rsidR="00FF5263" w:rsidRPr="004C2F13" w:rsidRDefault="00FF5263" w:rsidP="00FF5263">
      <w:pPr>
        <w:rPr>
          <w:rFonts w:ascii="Calibri" w:hAnsi="Calibri" w:cs="Arial"/>
        </w:rPr>
      </w:pPr>
      <w:r w:rsidRPr="004C2F13">
        <w:rPr>
          <w:rFonts w:ascii="Calibri" w:hAnsi="Calibri" w:cs="Arial"/>
        </w:rPr>
        <w:t>Yours faithfully,</w:t>
      </w:r>
    </w:p>
    <w:p w14:paraId="7B89E01D" w14:textId="77777777" w:rsidR="00783F1D" w:rsidRDefault="7E0F25DE" w:rsidP="006C4242">
      <w:pPr>
        <w:spacing w:after="0" w:line="240" w:lineRule="auto"/>
        <w:rPr>
          <w:rFonts w:ascii="Calibri" w:hAnsi="Calibri" w:cs="Arial"/>
        </w:rPr>
      </w:pPr>
      <w:r w:rsidRPr="262F3D7E">
        <w:rPr>
          <w:rFonts w:ascii="Calibri" w:hAnsi="Calibri" w:cs="Arial"/>
        </w:rPr>
        <w:t>&lt;</w:t>
      </w:r>
      <w:r w:rsidRPr="262F3D7E">
        <w:rPr>
          <w:rFonts w:ascii="Calibri" w:hAnsi="Calibri" w:cs="Arial"/>
          <w:highlight w:val="lightGray"/>
        </w:rPr>
        <w:t>Signature of authorised representative</w:t>
      </w:r>
      <w:r w:rsidR="006C4242" w:rsidRPr="006C4242">
        <w:rPr>
          <w:rFonts w:ascii="Calibri" w:hAnsi="Calibri" w:cs="Arial"/>
          <w:highlight w:val="lightGray"/>
        </w:rPr>
        <w:t>(s)</w:t>
      </w:r>
      <w:r w:rsidRPr="006C4242">
        <w:rPr>
          <w:rFonts w:ascii="Calibri" w:hAnsi="Calibri" w:cs="Arial"/>
        </w:rPr>
        <w:t>&gt;</w:t>
      </w:r>
      <w:bookmarkStart w:id="68" w:name="_Hlk143123683"/>
    </w:p>
    <w:p w14:paraId="6DC7F52A" w14:textId="77777777" w:rsidR="00C55A32" w:rsidRDefault="00C55A32" w:rsidP="006C4242">
      <w:pPr>
        <w:spacing w:after="0" w:line="240" w:lineRule="auto"/>
        <w:rPr>
          <w:rFonts w:ascii="Calibri" w:hAnsi="Calibri" w:cs="Arial"/>
        </w:rPr>
      </w:pPr>
    </w:p>
    <w:p w14:paraId="3C14FC33" w14:textId="77777777" w:rsidR="00C55A32" w:rsidRDefault="00C55A32" w:rsidP="006C4242">
      <w:pPr>
        <w:spacing w:after="0" w:line="240" w:lineRule="auto"/>
        <w:rPr>
          <w:rFonts w:ascii="Calibri" w:hAnsi="Calibri" w:cs="Arial"/>
        </w:rPr>
      </w:pPr>
    </w:p>
    <w:p w14:paraId="67D48C75" w14:textId="77777777" w:rsidR="00293CE6" w:rsidRDefault="00293CE6" w:rsidP="63DC4369">
      <w:pPr>
        <w:pStyle w:val="EITUMHeading1"/>
        <w:pageBreakBefore/>
        <w:numPr>
          <w:ilvl w:val="0"/>
          <w:numId w:val="0"/>
        </w:numPr>
        <w:spacing w:after="0" w:line="240" w:lineRule="auto"/>
        <w:ind w:left="714"/>
        <w:sectPr w:rsidR="00293CE6" w:rsidSect="008A3AC3">
          <w:headerReference w:type="default" r:id="rId23"/>
          <w:footerReference w:type="default" r:id="rId24"/>
          <w:footerReference w:type="first" r:id="rId25"/>
          <w:pgSz w:w="12240" w:h="15840"/>
          <w:pgMar w:top="1702" w:right="1325" w:bottom="1620" w:left="1701" w:header="567" w:footer="444" w:gutter="0"/>
          <w:pgNumType w:start="1"/>
          <w:cols w:space="720"/>
          <w:titlePg/>
          <w:docGrid w:linePitch="272"/>
        </w:sectPr>
      </w:pPr>
    </w:p>
    <w:p w14:paraId="6DE52F5F" w14:textId="77777777" w:rsidR="00C55A32" w:rsidRDefault="6E218A6A" w:rsidP="63DC4369">
      <w:pPr>
        <w:pStyle w:val="EITUMHeading1"/>
        <w:pageBreakBefore/>
        <w:numPr>
          <w:ilvl w:val="0"/>
          <w:numId w:val="0"/>
        </w:numPr>
        <w:spacing w:after="0" w:line="240" w:lineRule="auto"/>
        <w:ind w:left="714"/>
      </w:pPr>
      <w:bookmarkStart w:id="69" w:name="_Toc206684778"/>
      <w:r>
        <w:lastRenderedPageBreak/>
        <w:t>Annex 4. Activity plan template</w:t>
      </w:r>
      <w:bookmarkEnd w:id="69"/>
    </w:p>
    <w:p w14:paraId="241ABC9F" w14:textId="77777777" w:rsidR="00423AF0" w:rsidRPr="00423AF0" w:rsidRDefault="00423AF0" w:rsidP="00423AF0">
      <w:pPr>
        <w:rPr>
          <w:rFonts w:ascii="Calibri" w:hAnsi="Calibri" w:cs="Arial"/>
        </w:rPr>
      </w:pPr>
    </w:p>
    <w:tbl>
      <w:tblPr>
        <w:tblW w:w="14284" w:type="dxa"/>
        <w:tblLook w:val="04A0" w:firstRow="1" w:lastRow="0" w:firstColumn="1" w:lastColumn="0" w:noHBand="0" w:noVBand="1"/>
      </w:tblPr>
      <w:tblGrid>
        <w:gridCol w:w="676"/>
        <w:gridCol w:w="476"/>
        <w:gridCol w:w="2216"/>
        <w:gridCol w:w="1936"/>
        <w:gridCol w:w="1796"/>
        <w:gridCol w:w="1796"/>
        <w:gridCol w:w="1796"/>
        <w:gridCol w:w="1796"/>
        <w:gridCol w:w="1796"/>
      </w:tblGrid>
      <w:tr w:rsidR="00293CE6" w:rsidRPr="00293CE6" w14:paraId="2A42BA4B" w14:textId="77777777" w:rsidTr="1FCB43CC">
        <w:trPr>
          <w:trHeight w:val="630"/>
        </w:trPr>
        <w:tc>
          <w:tcPr>
            <w:tcW w:w="676" w:type="dxa"/>
            <w:tcBorders>
              <w:top w:val="nil"/>
              <w:left w:val="nil"/>
              <w:bottom w:val="nil"/>
              <w:right w:val="nil"/>
            </w:tcBorders>
            <w:shd w:val="clear" w:color="auto" w:fill="auto"/>
            <w:noWrap/>
            <w:vAlign w:val="bottom"/>
            <w:hideMark/>
          </w:tcPr>
          <w:p w14:paraId="01BFBC23" w14:textId="476F65DC" w:rsidR="00293CE6" w:rsidRPr="00293CE6" w:rsidRDefault="00293CE6" w:rsidP="00293CE6">
            <w:pPr>
              <w:spacing w:after="0" w:line="240" w:lineRule="auto"/>
              <w:rPr>
                <w:rFonts w:ascii="Aptos Narrow" w:eastAsia="Times New Roman" w:hAnsi="Aptos Narrow" w:cs="Times New Roman"/>
                <w:color w:val="000000"/>
                <w:sz w:val="22"/>
                <w:lang w:eastAsia="en-GB"/>
              </w:rPr>
            </w:pPr>
            <w:r w:rsidRPr="00293CE6">
              <w:rPr>
                <w:rFonts w:ascii="Aptos Narrow" w:eastAsia="Times New Roman" w:hAnsi="Aptos Narrow" w:cs="Times New Roman"/>
                <w:noProof/>
                <w:color w:val="000000"/>
                <w:sz w:val="22"/>
                <w:lang w:eastAsia="en-GB"/>
              </w:rPr>
              <w:drawing>
                <wp:anchor distT="0" distB="0" distL="114300" distR="114300" simplePos="0" relativeHeight="251658240" behindDoc="0" locked="0" layoutInCell="1" allowOverlap="1" wp14:anchorId="7DBAC90C" wp14:editId="17A38AB5">
                  <wp:simplePos x="0" y="0"/>
                  <wp:positionH relativeFrom="column">
                    <wp:posOffset>0</wp:posOffset>
                  </wp:positionH>
                  <wp:positionV relativeFrom="paragraph">
                    <wp:posOffset>0</wp:posOffset>
                  </wp:positionV>
                  <wp:extent cx="2228850" cy="333375"/>
                  <wp:effectExtent l="0" t="0" r="0" b="9525"/>
                  <wp:wrapNone/>
                  <wp:docPr id="1141486705" name="Imatge 7" descr="Imatge que conté captura de pantalla, Font, Gràfics, logotip&#10;&#10;Pot ser que el contingut generat amb IA no sigui correcte.">
                    <a:extLst xmlns:a="http://schemas.openxmlformats.org/drawingml/2006/main">
                      <a:ext uri="{FF2B5EF4-FFF2-40B4-BE49-F238E27FC236}">
                        <a16:creationId xmlns:a16="http://schemas.microsoft.com/office/drawing/2014/main" id="{DB446175-F25F-48D7-B799-E7182A714F14}"/>
                      </a:ext>
                    </a:extLst>
                  </wp:docPr>
                  <wp:cNvGraphicFramePr/>
                  <a:graphic xmlns:a="http://schemas.openxmlformats.org/drawingml/2006/main">
                    <a:graphicData uri="http://schemas.openxmlformats.org/drawingml/2006/picture">
                      <pic:pic xmlns:pic="http://schemas.openxmlformats.org/drawingml/2006/picture">
                        <pic:nvPicPr>
                          <pic:cNvPr id="1141486705" name="Imatge 7" descr="Imatge que conté captura de pantalla, Font, Gràfics, logotip&#10;&#10;Pot ser que el contingut generat amb IA no sigui correcte.">
                            <a:extLst>
                              <a:ext uri="{FF2B5EF4-FFF2-40B4-BE49-F238E27FC236}">
                                <a16:creationId xmlns:a16="http://schemas.microsoft.com/office/drawing/2014/main" id="{DB446175-F25F-48D7-B799-E7182A714F14}"/>
                              </a:ext>
                            </a:extLst>
                          </pic:cNvPr>
                          <pic:cNvPicPr>
                            <a:picLocks noChangeAspect="1"/>
                          </pic:cNvPicPr>
                        </pic:nvPicPr>
                        <pic:blipFill>
                          <a:blip r:embed="rId26"/>
                          <a:stretch>
                            <a:fillRect/>
                          </a:stretch>
                        </pic:blipFill>
                        <pic:spPr>
                          <a:xfrm>
                            <a:off x="0" y="0"/>
                            <a:ext cx="2228850" cy="33337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60"/>
            </w:tblGrid>
            <w:tr w:rsidR="00293CE6" w:rsidRPr="00293CE6" w14:paraId="4AEFFA14" w14:textId="77777777">
              <w:trPr>
                <w:trHeight w:val="630"/>
                <w:tblCellSpacing w:w="0" w:type="dxa"/>
              </w:trPr>
              <w:tc>
                <w:tcPr>
                  <w:tcW w:w="460" w:type="dxa"/>
                  <w:tcBorders>
                    <w:top w:val="nil"/>
                    <w:left w:val="nil"/>
                    <w:bottom w:val="nil"/>
                    <w:right w:val="nil"/>
                  </w:tcBorders>
                  <w:shd w:val="clear" w:color="auto" w:fill="auto"/>
                  <w:noWrap/>
                  <w:vAlign w:val="bottom"/>
                  <w:hideMark/>
                </w:tcPr>
                <w:p w14:paraId="33A1380C" w14:textId="77777777" w:rsidR="00293CE6" w:rsidRPr="00293CE6" w:rsidRDefault="00293CE6" w:rsidP="00293CE6">
                  <w:pPr>
                    <w:spacing w:after="0" w:line="240" w:lineRule="auto"/>
                    <w:rPr>
                      <w:rFonts w:ascii="Aptos Narrow" w:eastAsia="Times New Roman" w:hAnsi="Aptos Narrow" w:cs="Times New Roman"/>
                      <w:color w:val="000000"/>
                      <w:sz w:val="22"/>
                      <w:lang w:eastAsia="en-GB"/>
                    </w:rPr>
                  </w:pPr>
                </w:p>
              </w:tc>
            </w:tr>
          </w:tbl>
          <w:p w14:paraId="7359BA50" w14:textId="77777777" w:rsidR="00293CE6" w:rsidRPr="00293CE6" w:rsidRDefault="00293CE6" w:rsidP="00293CE6">
            <w:pPr>
              <w:spacing w:after="0" w:line="240" w:lineRule="auto"/>
              <w:rPr>
                <w:rFonts w:ascii="Aptos Narrow" w:eastAsia="Times New Roman" w:hAnsi="Aptos Narrow" w:cs="Times New Roman"/>
                <w:color w:val="000000"/>
                <w:sz w:val="22"/>
                <w:lang w:eastAsia="en-GB"/>
              </w:rPr>
            </w:pPr>
          </w:p>
        </w:tc>
        <w:tc>
          <w:tcPr>
            <w:tcW w:w="476" w:type="dxa"/>
            <w:tcBorders>
              <w:top w:val="nil"/>
              <w:left w:val="nil"/>
              <w:bottom w:val="nil"/>
              <w:right w:val="nil"/>
            </w:tcBorders>
            <w:shd w:val="clear" w:color="auto" w:fill="auto"/>
            <w:noWrap/>
            <w:vAlign w:val="bottom"/>
            <w:hideMark/>
          </w:tcPr>
          <w:p w14:paraId="544D823A"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2216" w:type="dxa"/>
            <w:tcBorders>
              <w:top w:val="nil"/>
              <w:left w:val="nil"/>
              <w:bottom w:val="nil"/>
              <w:right w:val="nil"/>
            </w:tcBorders>
            <w:shd w:val="clear" w:color="auto" w:fill="auto"/>
            <w:noWrap/>
            <w:vAlign w:val="bottom"/>
            <w:hideMark/>
          </w:tcPr>
          <w:p w14:paraId="3C89CBF4"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936" w:type="dxa"/>
            <w:tcBorders>
              <w:top w:val="nil"/>
              <w:left w:val="nil"/>
              <w:bottom w:val="nil"/>
              <w:right w:val="nil"/>
            </w:tcBorders>
            <w:shd w:val="clear" w:color="auto" w:fill="auto"/>
            <w:noWrap/>
            <w:vAlign w:val="bottom"/>
            <w:hideMark/>
          </w:tcPr>
          <w:p w14:paraId="0D62242A"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09120E8B"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14C48F37"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53B6E49B"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2A6CEDEB"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2FF02185"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r>
      <w:tr w:rsidR="00293CE6" w:rsidRPr="00293CE6" w14:paraId="06D5B66E" w14:textId="77777777" w:rsidTr="1FCB43CC">
        <w:trPr>
          <w:trHeight w:val="180"/>
        </w:trPr>
        <w:tc>
          <w:tcPr>
            <w:tcW w:w="676" w:type="dxa"/>
            <w:tcBorders>
              <w:top w:val="nil"/>
              <w:left w:val="nil"/>
              <w:bottom w:val="nil"/>
              <w:right w:val="nil"/>
            </w:tcBorders>
            <w:shd w:val="clear" w:color="auto" w:fill="auto"/>
            <w:noWrap/>
            <w:vAlign w:val="bottom"/>
            <w:hideMark/>
          </w:tcPr>
          <w:p w14:paraId="5CF193F4"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476" w:type="dxa"/>
            <w:tcBorders>
              <w:top w:val="nil"/>
              <w:left w:val="nil"/>
              <w:bottom w:val="nil"/>
              <w:right w:val="nil"/>
            </w:tcBorders>
            <w:shd w:val="clear" w:color="auto" w:fill="auto"/>
            <w:noWrap/>
            <w:vAlign w:val="bottom"/>
            <w:hideMark/>
          </w:tcPr>
          <w:p w14:paraId="3AC5E722"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2216" w:type="dxa"/>
            <w:tcBorders>
              <w:top w:val="nil"/>
              <w:left w:val="nil"/>
              <w:bottom w:val="nil"/>
              <w:right w:val="nil"/>
            </w:tcBorders>
            <w:shd w:val="clear" w:color="auto" w:fill="auto"/>
            <w:noWrap/>
            <w:vAlign w:val="bottom"/>
            <w:hideMark/>
          </w:tcPr>
          <w:p w14:paraId="5540E7FB"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936" w:type="dxa"/>
            <w:tcBorders>
              <w:top w:val="nil"/>
              <w:left w:val="nil"/>
              <w:bottom w:val="nil"/>
              <w:right w:val="nil"/>
            </w:tcBorders>
            <w:shd w:val="clear" w:color="auto" w:fill="auto"/>
            <w:noWrap/>
            <w:vAlign w:val="bottom"/>
            <w:hideMark/>
          </w:tcPr>
          <w:p w14:paraId="36105FDA"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2D39F59A"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238FF2C2"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6460BFD6"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6EAC59E5"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65018845"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r>
      <w:tr w:rsidR="00293CE6" w:rsidRPr="00293CE6" w14:paraId="3AE3DBF4" w14:textId="77777777" w:rsidTr="1FCB43CC">
        <w:trPr>
          <w:trHeight w:val="705"/>
        </w:trPr>
        <w:tc>
          <w:tcPr>
            <w:tcW w:w="14284" w:type="dxa"/>
            <w:gridSpan w:val="9"/>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4FC45B00" w14:textId="77777777" w:rsidR="00293CE6" w:rsidRPr="00293CE6" w:rsidRDefault="00293CE6" w:rsidP="00293CE6">
            <w:pPr>
              <w:spacing w:after="0" w:line="240" w:lineRule="auto"/>
              <w:jc w:val="center"/>
              <w:rPr>
                <w:rFonts w:ascii="Titillium" w:eastAsia="Times New Roman" w:hAnsi="Titillium" w:cs="Times New Roman"/>
                <w:b/>
                <w:bCs/>
                <w:color w:val="000000"/>
                <w:sz w:val="22"/>
                <w:lang w:eastAsia="en-GB"/>
              </w:rPr>
            </w:pPr>
            <w:r w:rsidRPr="00293CE6">
              <w:rPr>
                <w:rFonts w:ascii="Titillium" w:eastAsia="Times New Roman" w:hAnsi="Titillium" w:cs="Times New Roman"/>
                <w:b/>
                <w:bCs/>
                <w:color w:val="000000"/>
                <w:sz w:val="22"/>
                <w:lang w:eastAsia="en-GB"/>
              </w:rPr>
              <w:t xml:space="preserve">Activity Plan 2026 </w:t>
            </w:r>
            <w:r w:rsidRPr="00293CE6">
              <w:rPr>
                <w:rFonts w:ascii="Titillium" w:eastAsia="Times New Roman" w:hAnsi="Titillium" w:cs="Times New Roman"/>
                <w:b/>
                <w:bCs/>
                <w:color w:val="000000"/>
                <w:sz w:val="22"/>
                <w:lang w:eastAsia="en-GB"/>
              </w:rPr>
              <w:br/>
            </w:r>
            <w:r w:rsidRPr="00293CE6">
              <w:rPr>
                <w:rFonts w:ascii="Titillium" w:eastAsia="Times New Roman" w:hAnsi="Titillium" w:cs="Times New Roman"/>
                <w:color w:val="000000"/>
                <w:sz w:val="22"/>
                <w:lang w:eastAsia="en-GB"/>
              </w:rPr>
              <w:t>(this plan will be considered to be replicated for 2027 and in case of prolongation of the contract in 2028)</w:t>
            </w:r>
          </w:p>
        </w:tc>
      </w:tr>
      <w:tr w:rsidR="00293CE6" w:rsidRPr="00293CE6" w14:paraId="7796632A" w14:textId="77777777" w:rsidTr="1FCB43CC">
        <w:trPr>
          <w:trHeight w:val="180"/>
        </w:trPr>
        <w:tc>
          <w:tcPr>
            <w:tcW w:w="676" w:type="dxa"/>
            <w:tcBorders>
              <w:top w:val="nil"/>
              <w:left w:val="nil"/>
              <w:bottom w:val="nil"/>
              <w:right w:val="nil"/>
            </w:tcBorders>
            <w:shd w:val="clear" w:color="auto" w:fill="auto"/>
            <w:noWrap/>
            <w:vAlign w:val="bottom"/>
            <w:hideMark/>
          </w:tcPr>
          <w:p w14:paraId="5279E805" w14:textId="77777777" w:rsidR="00293CE6" w:rsidRPr="00293CE6" w:rsidRDefault="00293CE6" w:rsidP="00293CE6">
            <w:pPr>
              <w:spacing w:after="0" w:line="240" w:lineRule="auto"/>
              <w:jc w:val="center"/>
              <w:rPr>
                <w:rFonts w:ascii="Titillium" w:eastAsia="Times New Roman" w:hAnsi="Titillium" w:cs="Times New Roman"/>
                <w:b/>
                <w:bCs/>
                <w:color w:val="000000"/>
                <w:sz w:val="22"/>
                <w:lang w:eastAsia="en-GB"/>
              </w:rPr>
            </w:pPr>
          </w:p>
        </w:tc>
        <w:tc>
          <w:tcPr>
            <w:tcW w:w="476" w:type="dxa"/>
            <w:tcBorders>
              <w:top w:val="nil"/>
              <w:left w:val="nil"/>
              <w:bottom w:val="nil"/>
              <w:right w:val="nil"/>
            </w:tcBorders>
            <w:shd w:val="clear" w:color="auto" w:fill="auto"/>
            <w:noWrap/>
            <w:vAlign w:val="bottom"/>
            <w:hideMark/>
          </w:tcPr>
          <w:p w14:paraId="29C6F37D"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2216" w:type="dxa"/>
            <w:tcBorders>
              <w:top w:val="nil"/>
              <w:left w:val="nil"/>
              <w:bottom w:val="nil"/>
              <w:right w:val="nil"/>
            </w:tcBorders>
            <w:shd w:val="clear" w:color="auto" w:fill="auto"/>
            <w:noWrap/>
            <w:vAlign w:val="bottom"/>
            <w:hideMark/>
          </w:tcPr>
          <w:p w14:paraId="5077DCEC"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936" w:type="dxa"/>
            <w:tcBorders>
              <w:top w:val="nil"/>
              <w:left w:val="nil"/>
              <w:bottom w:val="nil"/>
              <w:right w:val="nil"/>
            </w:tcBorders>
            <w:shd w:val="clear" w:color="auto" w:fill="auto"/>
            <w:noWrap/>
            <w:vAlign w:val="bottom"/>
            <w:hideMark/>
          </w:tcPr>
          <w:p w14:paraId="216333C3"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75C57423"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33055AAD"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6F747157"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612D1648"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19BCB5C7"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r>
      <w:tr w:rsidR="00293CE6" w:rsidRPr="00293CE6" w14:paraId="05C3222C" w14:textId="77777777" w:rsidTr="1FCB43CC">
        <w:trPr>
          <w:trHeight w:val="495"/>
        </w:trPr>
        <w:tc>
          <w:tcPr>
            <w:tcW w:w="3368" w:type="dxa"/>
            <w:gridSpan w:val="3"/>
            <w:tcBorders>
              <w:top w:val="single" w:sz="8" w:space="0" w:color="000000"/>
              <w:left w:val="single" w:sz="8" w:space="0" w:color="000000"/>
              <w:bottom w:val="nil"/>
              <w:right w:val="nil"/>
            </w:tcBorders>
            <w:shd w:val="clear" w:color="auto" w:fill="034EA2" w:themeFill="text2"/>
            <w:noWrap/>
            <w:vAlign w:val="center"/>
            <w:hideMark/>
          </w:tcPr>
          <w:p w14:paraId="5F673439" w14:textId="77777777" w:rsidR="00293CE6" w:rsidRPr="00293CE6" w:rsidRDefault="00293CE6" w:rsidP="00293CE6">
            <w:pPr>
              <w:spacing w:after="0" w:line="240" w:lineRule="auto"/>
              <w:jc w:val="center"/>
              <w:rPr>
                <w:rFonts w:ascii="Titillium" w:eastAsia="Times New Roman" w:hAnsi="Titillium" w:cs="Times New Roman"/>
                <w:color w:val="FFFFFF"/>
                <w:sz w:val="22"/>
                <w:lang w:eastAsia="en-GB"/>
              </w:rPr>
            </w:pPr>
            <w:r w:rsidRPr="00293CE6">
              <w:rPr>
                <w:rFonts w:ascii="Titillium" w:eastAsia="Times New Roman" w:hAnsi="Titillium" w:cs="Times New Roman"/>
                <w:color w:val="FFFFFF"/>
                <w:sz w:val="22"/>
                <w:lang w:eastAsia="en-GB"/>
              </w:rPr>
              <w:t>Country</w:t>
            </w:r>
          </w:p>
        </w:tc>
        <w:tc>
          <w:tcPr>
            <w:tcW w:w="10916" w:type="dxa"/>
            <w:gridSpan w:val="6"/>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154B5330" w14:textId="77777777" w:rsidR="00293CE6" w:rsidRPr="00293CE6" w:rsidRDefault="00293CE6" w:rsidP="00293CE6">
            <w:pPr>
              <w:spacing w:after="0" w:line="240" w:lineRule="auto"/>
              <w:jc w:val="center"/>
              <w:rPr>
                <w:rFonts w:ascii="Titillium" w:eastAsia="Times New Roman" w:hAnsi="Titillium" w:cs="Times New Roman"/>
                <w:b/>
                <w:bCs/>
                <w:color w:val="000000"/>
                <w:sz w:val="22"/>
                <w:lang w:eastAsia="en-GB"/>
              </w:rPr>
            </w:pPr>
            <w:r w:rsidRPr="00293CE6">
              <w:rPr>
                <w:rFonts w:ascii="Titillium" w:eastAsia="Times New Roman" w:hAnsi="Titillium" w:cs="Times New Roman"/>
                <w:b/>
                <w:bCs/>
                <w:color w:val="000000"/>
                <w:sz w:val="22"/>
                <w:lang w:eastAsia="en-GB"/>
              </w:rPr>
              <w:t>Bulgaria</w:t>
            </w:r>
          </w:p>
        </w:tc>
      </w:tr>
      <w:tr w:rsidR="00293CE6" w:rsidRPr="00293CE6" w14:paraId="71B25364" w14:textId="77777777" w:rsidTr="1FCB43CC">
        <w:trPr>
          <w:trHeight w:val="495"/>
        </w:trPr>
        <w:tc>
          <w:tcPr>
            <w:tcW w:w="3368" w:type="dxa"/>
            <w:gridSpan w:val="3"/>
            <w:tcBorders>
              <w:top w:val="nil"/>
              <w:left w:val="single" w:sz="8" w:space="0" w:color="000000"/>
              <w:bottom w:val="nil"/>
              <w:right w:val="nil"/>
            </w:tcBorders>
            <w:shd w:val="clear" w:color="auto" w:fill="034EA2" w:themeFill="text2"/>
            <w:vAlign w:val="center"/>
            <w:hideMark/>
          </w:tcPr>
          <w:p w14:paraId="2A029B46" w14:textId="77777777" w:rsidR="00293CE6" w:rsidRPr="00293CE6" w:rsidRDefault="00293CE6" w:rsidP="00293CE6">
            <w:pPr>
              <w:spacing w:after="0" w:line="240" w:lineRule="auto"/>
              <w:jc w:val="center"/>
              <w:rPr>
                <w:rFonts w:ascii="Titillium" w:eastAsia="Times New Roman" w:hAnsi="Titillium" w:cs="Times New Roman"/>
                <w:color w:val="FFFFFF"/>
                <w:sz w:val="22"/>
                <w:lang w:eastAsia="en-GB"/>
              </w:rPr>
            </w:pPr>
            <w:r w:rsidRPr="00293CE6">
              <w:rPr>
                <w:rFonts w:ascii="Titillium" w:eastAsia="Times New Roman" w:hAnsi="Titillium" w:cs="Times New Roman"/>
                <w:color w:val="FFFFFF"/>
                <w:sz w:val="22"/>
                <w:lang w:eastAsia="en-GB"/>
              </w:rPr>
              <w:t>Category (White Spot or Established Country)</w:t>
            </w:r>
          </w:p>
        </w:tc>
        <w:tc>
          <w:tcPr>
            <w:tcW w:w="10916" w:type="dxa"/>
            <w:gridSpan w:val="6"/>
            <w:tcBorders>
              <w:top w:val="nil"/>
              <w:left w:val="nil"/>
              <w:bottom w:val="single" w:sz="4" w:space="0" w:color="000000"/>
              <w:right w:val="single" w:sz="8" w:space="0" w:color="000000"/>
            </w:tcBorders>
            <w:shd w:val="clear" w:color="auto" w:fill="auto"/>
            <w:vAlign w:val="center"/>
            <w:hideMark/>
          </w:tcPr>
          <w:p w14:paraId="410B8321" w14:textId="4C9DF601" w:rsidR="00293CE6" w:rsidRPr="00293CE6" w:rsidRDefault="00293CE6" w:rsidP="00293CE6">
            <w:pPr>
              <w:spacing w:after="0" w:line="240" w:lineRule="auto"/>
              <w:jc w:val="center"/>
              <w:rPr>
                <w:rFonts w:ascii="Titillium" w:eastAsia="Times New Roman" w:hAnsi="Titillium" w:cs="Times New Roman"/>
                <w:color w:val="000000"/>
                <w:sz w:val="22"/>
                <w:lang w:eastAsia="en-GB"/>
              </w:rPr>
            </w:pPr>
            <w:r w:rsidRPr="00293CE6">
              <w:rPr>
                <w:rFonts w:ascii="Titillium" w:eastAsia="Times New Roman" w:hAnsi="Titillium" w:cs="Times New Roman"/>
                <w:color w:val="000000"/>
                <w:sz w:val="22"/>
                <w:lang w:eastAsia="en-GB"/>
              </w:rPr>
              <w:t> </w:t>
            </w:r>
            <w:r w:rsidR="00CE7402">
              <w:rPr>
                <w:rFonts w:ascii="Titillium" w:eastAsia="Times New Roman" w:hAnsi="Titillium" w:cs="Times New Roman"/>
                <w:color w:val="000000"/>
                <w:sz w:val="22"/>
                <w:lang w:eastAsia="en-GB"/>
              </w:rPr>
              <w:t>White Spot country</w:t>
            </w:r>
          </w:p>
        </w:tc>
      </w:tr>
      <w:tr w:rsidR="00293CE6" w:rsidRPr="00293CE6" w14:paraId="29323FF9" w14:textId="77777777" w:rsidTr="1FCB43CC">
        <w:trPr>
          <w:trHeight w:val="495"/>
        </w:trPr>
        <w:tc>
          <w:tcPr>
            <w:tcW w:w="3368" w:type="dxa"/>
            <w:gridSpan w:val="3"/>
            <w:tcBorders>
              <w:top w:val="nil"/>
              <w:left w:val="single" w:sz="8" w:space="0" w:color="000000"/>
              <w:bottom w:val="nil"/>
              <w:right w:val="nil"/>
            </w:tcBorders>
            <w:shd w:val="clear" w:color="auto" w:fill="034EA2" w:themeFill="text2"/>
            <w:noWrap/>
            <w:vAlign w:val="center"/>
            <w:hideMark/>
          </w:tcPr>
          <w:p w14:paraId="61360B54" w14:textId="3793C84F" w:rsidR="00293CE6" w:rsidRPr="00293CE6" w:rsidRDefault="00293CE6" w:rsidP="00293CE6">
            <w:pPr>
              <w:spacing w:after="0" w:line="240" w:lineRule="auto"/>
              <w:jc w:val="center"/>
              <w:rPr>
                <w:rFonts w:ascii="Titillium" w:eastAsia="Times New Roman" w:hAnsi="Titillium" w:cs="Times New Roman"/>
                <w:color w:val="FFFFFF"/>
                <w:sz w:val="22"/>
                <w:lang w:eastAsia="en-GB"/>
              </w:rPr>
            </w:pPr>
            <w:r w:rsidRPr="00293CE6">
              <w:rPr>
                <w:rFonts w:ascii="Titillium" w:eastAsia="Times New Roman" w:hAnsi="Titillium" w:cs="Times New Roman"/>
                <w:color w:val="FFFFFF"/>
                <w:sz w:val="22"/>
                <w:lang w:eastAsia="en-GB"/>
              </w:rPr>
              <w:t>EIT Community Officer Name</w:t>
            </w:r>
            <w:r w:rsidR="00CE7402">
              <w:rPr>
                <w:rFonts w:ascii="Titillium" w:eastAsia="Times New Roman" w:hAnsi="Titillium" w:cs="Times New Roman"/>
                <w:color w:val="FFFFFF"/>
                <w:sz w:val="22"/>
                <w:lang w:eastAsia="en-GB"/>
              </w:rPr>
              <w:t>(s)</w:t>
            </w:r>
          </w:p>
        </w:tc>
        <w:tc>
          <w:tcPr>
            <w:tcW w:w="10916" w:type="dxa"/>
            <w:gridSpan w:val="6"/>
            <w:tcBorders>
              <w:top w:val="single" w:sz="4" w:space="0" w:color="000000"/>
              <w:left w:val="nil"/>
              <w:bottom w:val="single" w:sz="4" w:space="0" w:color="000000"/>
              <w:right w:val="single" w:sz="8" w:space="0" w:color="000000"/>
            </w:tcBorders>
            <w:shd w:val="clear" w:color="auto" w:fill="FFFF00"/>
            <w:vAlign w:val="center"/>
            <w:hideMark/>
          </w:tcPr>
          <w:p w14:paraId="715D73D9" w14:textId="77777777" w:rsidR="00293CE6" w:rsidRPr="00293CE6" w:rsidRDefault="00293CE6" w:rsidP="00293CE6">
            <w:pPr>
              <w:spacing w:after="0" w:line="240" w:lineRule="auto"/>
              <w:jc w:val="center"/>
              <w:rPr>
                <w:rFonts w:ascii="Titillium" w:eastAsia="Times New Roman" w:hAnsi="Titillium" w:cs="Times New Roman"/>
                <w:color w:val="000000"/>
                <w:sz w:val="22"/>
                <w:lang w:eastAsia="en-GB"/>
              </w:rPr>
            </w:pPr>
            <w:r w:rsidRPr="00293CE6">
              <w:rPr>
                <w:rFonts w:ascii="Titillium" w:eastAsia="Times New Roman" w:hAnsi="Titillium" w:cs="Times New Roman"/>
                <w:color w:val="000000"/>
                <w:sz w:val="22"/>
                <w:lang w:eastAsia="en-GB"/>
              </w:rPr>
              <w:t> </w:t>
            </w:r>
          </w:p>
        </w:tc>
      </w:tr>
      <w:tr w:rsidR="00293CE6" w:rsidRPr="00293CE6" w14:paraId="508922E9" w14:textId="77777777" w:rsidTr="1FCB43CC">
        <w:trPr>
          <w:trHeight w:val="495"/>
        </w:trPr>
        <w:tc>
          <w:tcPr>
            <w:tcW w:w="3368" w:type="dxa"/>
            <w:gridSpan w:val="3"/>
            <w:tcBorders>
              <w:top w:val="nil"/>
              <w:left w:val="single" w:sz="8" w:space="0" w:color="000000"/>
              <w:bottom w:val="single" w:sz="8" w:space="0" w:color="000000"/>
              <w:right w:val="nil"/>
            </w:tcBorders>
            <w:shd w:val="clear" w:color="auto" w:fill="034EA2" w:themeFill="text2"/>
            <w:noWrap/>
            <w:vAlign w:val="center"/>
            <w:hideMark/>
          </w:tcPr>
          <w:p w14:paraId="07CCFBEB" w14:textId="7E710138" w:rsidR="00293CE6" w:rsidRPr="00293CE6" w:rsidRDefault="00293CE6" w:rsidP="00293CE6">
            <w:pPr>
              <w:spacing w:after="0" w:line="240" w:lineRule="auto"/>
              <w:jc w:val="center"/>
              <w:rPr>
                <w:rFonts w:ascii="Titillium" w:eastAsia="Times New Roman" w:hAnsi="Titillium" w:cs="Times New Roman"/>
                <w:color w:val="FFFFFF"/>
                <w:sz w:val="22"/>
                <w:lang w:eastAsia="en-GB"/>
              </w:rPr>
            </w:pPr>
            <w:r w:rsidRPr="00293CE6">
              <w:rPr>
                <w:rFonts w:ascii="Titillium" w:eastAsia="Times New Roman" w:hAnsi="Titillium" w:cs="Times New Roman"/>
                <w:color w:val="FFFFFF"/>
                <w:sz w:val="22"/>
                <w:lang w:eastAsia="en-GB"/>
              </w:rPr>
              <w:t>Organisation</w:t>
            </w:r>
            <w:r w:rsidR="00CE7402">
              <w:rPr>
                <w:rFonts w:ascii="Titillium" w:eastAsia="Times New Roman" w:hAnsi="Titillium" w:cs="Times New Roman"/>
                <w:color w:val="FFFFFF"/>
                <w:sz w:val="22"/>
                <w:lang w:eastAsia="en-GB"/>
              </w:rPr>
              <w:t>(s)</w:t>
            </w:r>
          </w:p>
        </w:tc>
        <w:tc>
          <w:tcPr>
            <w:tcW w:w="10916" w:type="dxa"/>
            <w:gridSpan w:val="6"/>
            <w:tcBorders>
              <w:top w:val="single" w:sz="4" w:space="0" w:color="000000"/>
              <w:left w:val="nil"/>
              <w:bottom w:val="single" w:sz="8" w:space="0" w:color="000000"/>
              <w:right w:val="single" w:sz="8" w:space="0" w:color="000000"/>
            </w:tcBorders>
            <w:shd w:val="clear" w:color="auto" w:fill="FFFF00"/>
            <w:vAlign w:val="center"/>
            <w:hideMark/>
          </w:tcPr>
          <w:p w14:paraId="5DE90C49" w14:textId="77777777" w:rsidR="00293CE6" w:rsidRPr="00293CE6" w:rsidRDefault="00293CE6" w:rsidP="00293CE6">
            <w:pPr>
              <w:spacing w:after="0" w:line="240" w:lineRule="auto"/>
              <w:jc w:val="center"/>
              <w:rPr>
                <w:rFonts w:ascii="Titillium" w:eastAsia="Times New Roman" w:hAnsi="Titillium" w:cs="Times New Roman"/>
                <w:color w:val="000000"/>
                <w:sz w:val="22"/>
                <w:lang w:eastAsia="en-GB"/>
              </w:rPr>
            </w:pPr>
            <w:r w:rsidRPr="00293CE6">
              <w:rPr>
                <w:rFonts w:ascii="Titillium" w:eastAsia="Times New Roman" w:hAnsi="Titillium" w:cs="Times New Roman"/>
                <w:color w:val="000000"/>
                <w:sz w:val="22"/>
                <w:lang w:eastAsia="en-GB"/>
              </w:rPr>
              <w:t> </w:t>
            </w:r>
          </w:p>
        </w:tc>
      </w:tr>
      <w:tr w:rsidR="00293CE6" w:rsidRPr="00293CE6" w14:paraId="73AB5F1D" w14:textId="77777777" w:rsidTr="1FCB43CC">
        <w:trPr>
          <w:trHeight w:val="240"/>
        </w:trPr>
        <w:tc>
          <w:tcPr>
            <w:tcW w:w="676" w:type="dxa"/>
            <w:tcBorders>
              <w:top w:val="nil"/>
              <w:left w:val="nil"/>
              <w:bottom w:val="nil"/>
              <w:right w:val="nil"/>
            </w:tcBorders>
            <w:shd w:val="clear" w:color="auto" w:fill="auto"/>
            <w:noWrap/>
            <w:vAlign w:val="bottom"/>
            <w:hideMark/>
          </w:tcPr>
          <w:p w14:paraId="380D2F0B" w14:textId="77777777" w:rsidR="00293CE6" w:rsidRPr="00293CE6" w:rsidRDefault="00293CE6" w:rsidP="00293CE6">
            <w:pPr>
              <w:spacing w:after="0" w:line="240" w:lineRule="auto"/>
              <w:jc w:val="center"/>
              <w:rPr>
                <w:rFonts w:ascii="Titillium" w:eastAsia="Times New Roman" w:hAnsi="Titillium" w:cs="Times New Roman"/>
                <w:color w:val="000000"/>
                <w:sz w:val="22"/>
                <w:lang w:eastAsia="en-GB"/>
              </w:rPr>
            </w:pPr>
          </w:p>
        </w:tc>
        <w:tc>
          <w:tcPr>
            <w:tcW w:w="476" w:type="dxa"/>
            <w:tcBorders>
              <w:top w:val="nil"/>
              <w:left w:val="nil"/>
              <w:bottom w:val="nil"/>
              <w:right w:val="nil"/>
            </w:tcBorders>
            <w:shd w:val="clear" w:color="auto" w:fill="auto"/>
            <w:noWrap/>
            <w:vAlign w:val="bottom"/>
            <w:hideMark/>
          </w:tcPr>
          <w:p w14:paraId="6CD29023"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2216" w:type="dxa"/>
            <w:tcBorders>
              <w:top w:val="nil"/>
              <w:left w:val="nil"/>
              <w:bottom w:val="nil"/>
              <w:right w:val="nil"/>
            </w:tcBorders>
            <w:shd w:val="clear" w:color="auto" w:fill="auto"/>
            <w:noWrap/>
            <w:vAlign w:val="bottom"/>
            <w:hideMark/>
          </w:tcPr>
          <w:p w14:paraId="64F07211"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936" w:type="dxa"/>
            <w:tcBorders>
              <w:top w:val="nil"/>
              <w:left w:val="nil"/>
              <w:bottom w:val="nil"/>
              <w:right w:val="nil"/>
            </w:tcBorders>
            <w:shd w:val="clear" w:color="auto" w:fill="auto"/>
            <w:noWrap/>
            <w:vAlign w:val="bottom"/>
            <w:hideMark/>
          </w:tcPr>
          <w:p w14:paraId="7754F0FB"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10ADC23A"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7500D40E"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3BD404A3"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4FC2BC41"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c>
          <w:tcPr>
            <w:tcW w:w="1796" w:type="dxa"/>
            <w:tcBorders>
              <w:top w:val="nil"/>
              <w:left w:val="nil"/>
              <w:bottom w:val="nil"/>
              <w:right w:val="nil"/>
            </w:tcBorders>
            <w:shd w:val="clear" w:color="auto" w:fill="auto"/>
            <w:noWrap/>
            <w:vAlign w:val="bottom"/>
            <w:hideMark/>
          </w:tcPr>
          <w:p w14:paraId="7CBCD7AF" w14:textId="77777777" w:rsidR="00293CE6" w:rsidRPr="00293CE6" w:rsidRDefault="00293CE6" w:rsidP="00293CE6">
            <w:pPr>
              <w:spacing w:after="0" w:line="240" w:lineRule="auto"/>
              <w:rPr>
                <w:rFonts w:ascii="Times New Roman" w:eastAsia="Times New Roman" w:hAnsi="Times New Roman" w:cs="Times New Roman"/>
                <w:color w:val="auto"/>
                <w:szCs w:val="20"/>
                <w:lang w:eastAsia="en-GB"/>
              </w:rPr>
            </w:pPr>
          </w:p>
        </w:tc>
      </w:tr>
      <w:tr w:rsidR="00293CE6" w:rsidRPr="00293CE6" w14:paraId="3A61FCFA" w14:textId="77777777" w:rsidTr="1FCB43CC">
        <w:trPr>
          <w:trHeight w:val="345"/>
        </w:trPr>
        <w:tc>
          <w:tcPr>
            <w:tcW w:w="14284" w:type="dxa"/>
            <w:gridSpan w:val="9"/>
            <w:tcBorders>
              <w:top w:val="single" w:sz="8" w:space="0" w:color="000000"/>
              <w:left w:val="single" w:sz="8" w:space="0" w:color="000000"/>
              <w:bottom w:val="single" w:sz="4" w:space="0" w:color="000000"/>
              <w:right w:val="single" w:sz="8" w:space="0" w:color="000000"/>
            </w:tcBorders>
            <w:shd w:val="clear" w:color="auto" w:fill="034EA2" w:themeFill="text2"/>
            <w:vAlign w:val="center"/>
            <w:hideMark/>
          </w:tcPr>
          <w:p w14:paraId="106CD632" w14:textId="77777777" w:rsidR="00293CE6" w:rsidRPr="00293CE6" w:rsidRDefault="00293CE6" w:rsidP="00293CE6">
            <w:pPr>
              <w:spacing w:after="0" w:line="240" w:lineRule="auto"/>
              <w:jc w:val="center"/>
              <w:rPr>
                <w:rFonts w:ascii="Titillium" w:eastAsia="Times New Roman" w:hAnsi="Titillium" w:cs="Times New Roman"/>
                <w:b/>
                <w:bCs/>
                <w:color w:val="FFFFFF"/>
                <w:szCs w:val="20"/>
                <w:lang w:eastAsia="en-GB"/>
              </w:rPr>
            </w:pPr>
            <w:r w:rsidRPr="00293CE6">
              <w:rPr>
                <w:rFonts w:ascii="Titillium" w:eastAsia="Times New Roman" w:hAnsi="Titillium" w:cs="Times New Roman"/>
                <w:b/>
                <w:bCs/>
                <w:color w:val="FFFFFF"/>
                <w:szCs w:val="20"/>
                <w:lang w:eastAsia="en-GB"/>
              </w:rPr>
              <w:t xml:space="preserve">Work Package 1 Local Community Development for Innovation/Education/Business Creation  </w:t>
            </w:r>
          </w:p>
        </w:tc>
      </w:tr>
      <w:tr w:rsidR="00293CE6" w:rsidRPr="0040660E" w14:paraId="56035CAC" w14:textId="77777777" w:rsidTr="1FCB43CC">
        <w:trPr>
          <w:trHeight w:val="1005"/>
        </w:trPr>
        <w:tc>
          <w:tcPr>
            <w:tcW w:w="3368" w:type="dxa"/>
            <w:gridSpan w:val="3"/>
            <w:vMerge w:val="restart"/>
            <w:tcBorders>
              <w:top w:val="single" w:sz="4" w:space="0" w:color="000000"/>
              <w:left w:val="single" w:sz="8" w:space="0" w:color="000000"/>
              <w:bottom w:val="single" w:sz="4" w:space="0" w:color="000000"/>
              <w:right w:val="single" w:sz="4" w:space="0" w:color="000000"/>
            </w:tcBorders>
            <w:shd w:val="clear" w:color="auto" w:fill="034EA2" w:themeFill="text2"/>
            <w:vAlign w:val="center"/>
            <w:hideMark/>
          </w:tcPr>
          <w:p w14:paraId="5C32E13B" w14:textId="77777777" w:rsidR="00293CE6" w:rsidRPr="00293CE6" w:rsidRDefault="00293CE6" w:rsidP="00293CE6">
            <w:pPr>
              <w:spacing w:after="0" w:line="240" w:lineRule="auto"/>
              <w:jc w:val="center"/>
              <w:rPr>
                <w:rFonts w:ascii="Titillium" w:eastAsia="Times New Roman" w:hAnsi="Titillium" w:cs="Times New Roman"/>
                <w:color w:val="FFFFFF"/>
                <w:sz w:val="16"/>
                <w:szCs w:val="16"/>
                <w:lang w:eastAsia="en-GB"/>
              </w:rPr>
            </w:pPr>
            <w:r w:rsidRPr="00293CE6">
              <w:rPr>
                <w:rFonts w:ascii="Titillium" w:eastAsia="Times New Roman" w:hAnsi="Titillium" w:cs="Times New Roman"/>
                <w:color w:val="FFFFFF"/>
                <w:sz w:val="16"/>
                <w:szCs w:val="16"/>
                <w:lang w:eastAsia="en-GB"/>
              </w:rPr>
              <w:t> EITECO01 - Applicants/participants supported/referred by the ECO to the RI&amp;I Cluster innovation, education, business creation calls and training opportunities</w:t>
            </w:r>
          </w:p>
        </w:tc>
        <w:tc>
          <w:tcPr>
            <w:tcW w:w="1936" w:type="dxa"/>
            <w:tcBorders>
              <w:top w:val="nil"/>
              <w:left w:val="nil"/>
              <w:bottom w:val="single" w:sz="4" w:space="0" w:color="000000"/>
              <w:right w:val="single" w:sz="4" w:space="0" w:color="000000"/>
            </w:tcBorders>
            <w:shd w:val="clear" w:color="auto" w:fill="auto"/>
            <w:noWrap/>
            <w:vAlign w:val="center"/>
            <w:hideMark/>
          </w:tcPr>
          <w:p w14:paraId="26F7692E" w14:textId="77777777" w:rsidR="00293CE6" w:rsidRPr="00293CE6" w:rsidRDefault="00293CE6" w:rsidP="00293CE6">
            <w:pPr>
              <w:spacing w:after="0" w:line="240" w:lineRule="auto"/>
              <w:jc w:val="center"/>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KPI</w:t>
            </w:r>
          </w:p>
        </w:tc>
        <w:tc>
          <w:tcPr>
            <w:tcW w:w="1796" w:type="dxa"/>
            <w:tcBorders>
              <w:top w:val="nil"/>
              <w:left w:val="nil"/>
              <w:bottom w:val="single" w:sz="4" w:space="0" w:color="000000"/>
              <w:right w:val="single" w:sz="4" w:space="0" w:color="000000"/>
            </w:tcBorders>
            <w:shd w:val="clear" w:color="auto" w:fill="auto"/>
            <w:vAlign w:val="center"/>
            <w:hideMark/>
          </w:tcPr>
          <w:p w14:paraId="7C8ACDE4" w14:textId="77777777" w:rsidR="00293CE6" w:rsidRPr="00293CE6" w:rsidRDefault="00293CE6" w:rsidP="00293CE6">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1 </w:t>
            </w:r>
            <w:r w:rsidRPr="00293CE6">
              <w:rPr>
                <w:rFonts w:ascii="Titillium" w:eastAsia="Times New Roman" w:hAnsi="Titillium" w:cs="Times New Roman"/>
                <w:b/>
                <w:bCs/>
                <w:i/>
                <w:iCs/>
                <w:color w:val="000000"/>
                <w:sz w:val="16"/>
                <w:szCs w:val="16"/>
                <w:lang w:eastAsia="en-GB"/>
              </w:rPr>
              <w:br/>
              <w:t xml:space="preserve">EIT </w:t>
            </w:r>
            <w:proofErr w:type="spellStart"/>
            <w:r w:rsidRPr="00293CE6">
              <w:rPr>
                <w:rFonts w:ascii="Titillium" w:eastAsia="Times New Roman" w:hAnsi="Titillium" w:cs="Times New Roman"/>
                <w:b/>
                <w:bCs/>
                <w:i/>
                <w:iCs/>
                <w:color w:val="000000"/>
                <w:sz w:val="16"/>
                <w:szCs w:val="16"/>
                <w:lang w:eastAsia="en-GB"/>
              </w:rPr>
              <w:t>Jumpstarter</w:t>
            </w:r>
            <w:proofErr w:type="spellEnd"/>
            <w:r w:rsidRPr="00293CE6">
              <w:rPr>
                <w:rFonts w:ascii="Titillium" w:eastAsia="Times New Roman" w:hAnsi="Titillium" w:cs="Times New Roman"/>
                <w:i/>
                <w:iCs/>
                <w:color w:val="000000"/>
                <w:sz w:val="16"/>
                <w:szCs w:val="16"/>
                <w:lang w:eastAsia="en-GB"/>
              </w:rPr>
              <w:t xml:space="preserve"> </w:t>
            </w:r>
            <w:r w:rsidRPr="00293CE6">
              <w:rPr>
                <w:rFonts w:ascii="Titillium" w:eastAsia="Times New Roman" w:hAnsi="Titillium" w:cs="Times New Roman"/>
                <w:i/>
                <w:iCs/>
                <w:color w:val="000000"/>
                <w:sz w:val="16"/>
                <w:szCs w:val="16"/>
                <w:lang w:eastAsia="en-GB"/>
              </w:rPr>
              <w:br/>
            </w:r>
            <w:r w:rsidRPr="00293CE6">
              <w:rPr>
                <w:rFonts w:ascii="Titillium" w:eastAsia="Times New Roman" w:hAnsi="Titillium" w:cs="Times New Roman"/>
                <w:b/>
                <w:bCs/>
                <w:i/>
                <w:iCs/>
                <w:color w:val="000000"/>
                <w:sz w:val="16"/>
                <w:szCs w:val="16"/>
                <w:lang w:eastAsia="en-GB"/>
              </w:rPr>
              <w:t>programme</w:t>
            </w:r>
          </w:p>
        </w:tc>
        <w:tc>
          <w:tcPr>
            <w:tcW w:w="1796" w:type="dxa"/>
            <w:tcBorders>
              <w:top w:val="nil"/>
              <w:left w:val="nil"/>
              <w:bottom w:val="single" w:sz="4" w:space="0" w:color="000000"/>
              <w:right w:val="single" w:sz="4" w:space="0" w:color="000000"/>
            </w:tcBorders>
            <w:shd w:val="clear" w:color="auto" w:fill="auto"/>
            <w:vAlign w:val="center"/>
            <w:hideMark/>
          </w:tcPr>
          <w:p w14:paraId="7409AF44" w14:textId="77777777" w:rsidR="00293CE6" w:rsidRPr="00293CE6" w:rsidRDefault="00293CE6" w:rsidP="00293CE6">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2 </w:t>
            </w:r>
            <w:r w:rsidRPr="00293CE6">
              <w:rPr>
                <w:rFonts w:ascii="Titillium" w:eastAsia="Times New Roman" w:hAnsi="Titillium" w:cs="Times New Roman"/>
                <w:b/>
                <w:bCs/>
                <w:i/>
                <w:iCs/>
                <w:color w:val="000000"/>
                <w:sz w:val="16"/>
                <w:szCs w:val="16"/>
                <w:lang w:eastAsia="en-GB"/>
              </w:rPr>
              <w:br/>
              <w:t>EIT Regional Innovation Booster</w:t>
            </w:r>
          </w:p>
        </w:tc>
        <w:tc>
          <w:tcPr>
            <w:tcW w:w="1796" w:type="dxa"/>
            <w:tcBorders>
              <w:top w:val="nil"/>
              <w:left w:val="nil"/>
              <w:bottom w:val="single" w:sz="4" w:space="0" w:color="000000"/>
              <w:right w:val="single" w:sz="4" w:space="0" w:color="000000"/>
            </w:tcBorders>
            <w:shd w:val="clear" w:color="auto" w:fill="auto"/>
            <w:vAlign w:val="center"/>
            <w:hideMark/>
          </w:tcPr>
          <w:p w14:paraId="3295C541" w14:textId="77777777" w:rsidR="00293CE6" w:rsidRPr="00293CE6" w:rsidRDefault="00293CE6" w:rsidP="00293CE6">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3</w:t>
            </w:r>
            <w:r w:rsidRPr="00293CE6">
              <w:rPr>
                <w:rFonts w:ascii="Titillium" w:eastAsia="Times New Roman" w:hAnsi="Titillium" w:cs="Times New Roman"/>
                <w:b/>
                <w:bCs/>
                <w:i/>
                <w:iCs/>
                <w:color w:val="000000"/>
                <w:sz w:val="16"/>
                <w:szCs w:val="16"/>
                <w:lang w:eastAsia="en-GB"/>
              </w:rPr>
              <w:br/>
              <w:t xml:space="preserve">EIT Global Outreach </w:t>
            </w:r>
            <w:r w:rsidRPr="00293CE6">
              <w:rPr>
                <w:rFonts w:ascii="Titillium" w:eastAsia="Times New Roman" w:hAnsi="Titillium" w:cs="Times New Roman"/>
                <w:b/>
                <w:bCs/>
                <w:i/>
                <w:iCs/>
                <w:color w:val="000000"/>
                <w:sz w:val="16"/>
                <w:szCs w:val="16"/>
                <w:lang w:eastAsia="en-GB"/>
              </w:rPr>
              <w:br/>
              <w:t>programmes</w:t>
            </w:r>
          </w:p>
        </w:tc>
        <w:tc>
          <w:tcPr>
            <w:tcW w:w="1796" w:type="dxa"/>
            <w:tcBorders>
              <w:top w:val="nil"/>
              <w:left w:val="nil"/>
              <w:bottom w:val="single" w:sz="4" w:space="0" w:color="000000"/>
              <w:right w:val="single" w:sz="4" w:space="0" w:color="000000"/>
            </w:tcBorders>
            <w:shd w:val="clear" w:color="auto" w:fill="auto"/>
            <w:vAlign w:val="center"/>
            <w:hideMark/>
          </w:tcPr>
          <w:p w14:paraId="36BD2AB3" w14:textId="77777777" w:rsidR="00293CE6" w:rsidRPr="00293CE6" w:rsidRDefault="00293CE6" w:rsidP="00293CE6">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4</w:t>
            </w:r>
            <w:r w:rsidRPr="00293CE6">
              <w:rPr>
                <w:rFonts w:ascii="Titillium" w:eastAsia="Times New Roman" w:hAnsi="Titillium" w:cs="Times New Roman"/>
                <w:b/>
                <w:bCs/>
                <w:i/>
                <w:iCs/>
                <w:color w:val="000000"/>
                <w:sz w:val="16"/>
                <w:szCs w:val="16"/>
                <w:lang w:eastAsia="en-GB"/>
              </w:rPr>
              <w:br/>
              <w:t>EIT Global Outreach training opportunities</w:t>
            </w:r>
          </w:p>
        </w:tc>
        <w:tc>
          <w:tcPr>
            <w:tcW w:w="1796" w:type="dxa"/>
            <w:tcBorders>
              <w:top w:val="nil"/>
              <w:left w:val="nil"/>
              <w:bottom w:val="single" w:sz="4" w:space="0" w:color="000000"/>
              <w:right w:val="single" w:sz="8" w:space="0" w:color="000000"/>
            </w:tcBorders>
            <w:shd w:val="clear" w:color="auto" w:fill="auto"/>
            <w:vAlign w:val="center"/>
            <w:hideMark/>
          </w:tcPr>
          <w:p w14:paraId="121BF7F0" w14:textId="77777777" w:rsidR="00293CE6" w:rsidRPr="00293CE6" w:rsidRDefault="00293CE6" w:rsidP="00293CE6">
            <w:pPr>
              <w:spacing w:after="0" w:line="240" w:lineRule="auto"/>
              <w:jc w:val="center"/>
              <w:rPr>
                <w:rFonts w:ascii="Titillium" w:eastAsia="Times New Roman" w:hAnsi="Titillium" w:cs="Times New Roman"/>
                <w:b/>
                <w:bCs/>
                <w:i/>
                <w:iCs/>
                <w:color w:val="333333"/>
                <w:sz w:val="16"/>
                <w:szCs w:val="16"/>
                <w:lang w:val="fr-FR" w:eastAsia="en-GB"/>
              </w:rPr>
            </w:pPr>
            <w:r w:rsidRPr="00293CE6">
              <w:rPr>
                <w:rFonts w:ascii="Titillium" w:eastAsia="Times New Roman" w:hAnsi="Titillium" w:cs="Times New Roman"/>
                <w:b/>
                <w:bCs/>
                <w:i/>
                <w:iCs/>
                <w:color w:val="333333"/>
                <w:sz w:val="16"/>
                <w:szCs w:val="16"/>
                <w:lang w:val="fr-FR" w:eastAsia="en-GB"/>
              </w:rPr>
              <w:t>KPI Total</w:t>
            </w:r>
            <w:r w:rsidRPr="00293CE6">
              <w:rPr>
                <w:rFonts w:ascii="Titillium" w:eastAsia="Times New Roman" w:hAnsi="Titillium" w:cs="Times New Roman"/>
                <w:b/>
                <w:bCs/>
                <w:i/>
                <w:iCs/>
                <w:color w:val="333333"/>
                <w:sz w:val="16"/>
                <w:szCs w:val="16"/>
                <w:lang w:val="fr-FR" w:eastAsia="en-GB"/>
              </w:rPr>
              <w:br/>
            </w:r>
            <w:r w:rsidRPr="00293CE6">
              <w:rPr>
                <w:rFonts w:ascii="Titillium" w:eastAsia="Times New Roman" w:hAnsi="Titillium" w:cs="Times New Roman"/>
                <w:i/>
                <w:iCs/>
                <w:color w:val="333333"/>
                <w:sz w:val="16"/>
                <w:szCs w:val="16"/>
                <w:lang w:val="fr-FR" w:eastAsia="en-GB"/>
              </w:rPr>
              <w:t>Minimum:</w:t>
            </w:r>
            <w:r w:rsidRPr="00293CE6">
              <w:rPr>
                <w:rFonts w:ascii="Titillium" w:eastAsia="Times New Roman" w:hAnsi="Titillium" w:cs="Times New Roman"/>
                <w:i/>
                <w:iCs/>
                <w:color w:val="333333"/>
                <w:sz w:val="16"/>
                <w:szCs w:val="16"/>
                <w:lang w:val="fr-FR" w:eastAsia="en-GB"/>
              </w:rPr>
              <w:br/>
              <w:t xml:space="preserve">7 </w:t>
            </w:r>
            <w:proofErr w:type="spellStart"/>
            <w:r w:rsidRPr="00293CE6">
              <w:rPr>
                <w:rFonts w:ascii="Titillium" w:eastAsia="Times New Roman" w:hAnsi="Titillium" w:cs="Times New Roman"/>
                <w:i/>
                <w:iCs/>
                <w:color w:val="333333"/>
                <w:sz w:val="16"/>
                <w:szCs w:val="16"/>
                <w:lang w:val="fr-FR" w:eastAsia="en-GB"/>
              </w:rPr>
              <w:t>applicants</w:t>
            </w:r>
            <w:proofErr w:type="spellEnd"/>
            <w:r w:rsidRPr="00293CE6">
              <w:rPr>
                <w:rFonts w:ascii="Titillium" w:eastAsia="Times New Roman" w:hAnsi="Titillium" w:cs="Times New Roman"/>
                <w:i/>
                <w:iCs/>
                <w:color w:val="333333"/>
                <w:sz w:val="16"/>
                <w:szCs w:val="16"/>
                <w:lang w:val="fr-FR" w:eastAsia="en-GB"/>
              </w:rPr>
              <w:br/>
              <w:t xml:space="preserve">10 participants </w:t>
            </w:r>
          </w:p>
        </w:tc>
      </w:tr>
      <w:tr w:rsidR="00293CE6" w:rsidRPr="00293CE6" w14:paraId="66836C99" w14:textId="77777777" w:rsidTr="1FCB43CC">
        <w:trPr>
          <w:trHeight w:val="495"/>
        </w:trPr>
        <w:tc>
          <w:tcPr>
            <w:tcW w:w="3368" w:type="dxa"/>
            <w:gridSpan w:val="3"/>
            <w:vMerge/>
            <w:vAlign w:val="center"/>
            <w:hideMark/>
          </w:tcPr>
          <w:p w14:paraId="5A070BF3" w14:textId="77777777" w:rsidR="00293CE6" w:rsidRPr="00293CE6" w:rsidRDefault="00293CE6" w:rsidP="00293CE6">
            <w:pPr>
              <w:spacing w:after="0" w:line="240" w:lineRule="auto"/>
              <w:rPr>
                <w:rFonts w:ascii="Titillium" w:eastAsia="Times New Roman" w:hAnsi="Titillium" w:cs="Times New Roman"/>
                <w:color w:val="FFFFFF"/>
                <w:sz w:val="16"/>
                <w:szCs w:val="16"/>
                <w:lang w:val="fr-FR" w:eastAsia="en-GB"/>
              </w:rPr>
            </w:pPr>
          </w:p>
        </w:tc>
        <w:tc>
          <w:tcPr>
            <w:tcW w:w="1936" w:type="dxa"/>
            <w:tcBorders>
              <w:top w:val="nil"/>
              <w:left w:val="nil"/>
              <w:bottom w:val="single" w:sz="4" w:space="0" w:color="000000"/>
              <w:right w:val="single" w:sz="4" w:space="0" w:color="000000"/>
            </w:tcBorders>
            <w:shd w:val="clear" w:color="auto" w:fill="auto"/>
            <w:vAlign w:val="center"/>
            <w:hideMark/>
          </w:tcPr>
          <w:p w14:paraId="5B623E78" w14:textId="77777777" w:rsidR="00293CE6" w:rsidRPr="00293CE6" w:rsidRDefault="00293CE6" w:rsidP="00293CE6">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 xml:space="preserve">Number of applications </w:t>
            </w:r>
          </w:p>
        </w:tc>
        <w:tc>
          <w:tcPr>
            <w:tcW w:w="1796" w:type="dxa"/>
            <w:tcBorders>
              <w:top w:val="nil"/>
              <w:left w:val="nil"/>
              <w:bottom w:val="single" w:sz="4" w:space="0" w:color="000000"/>
              <w:right w:val="single" w:sz="4" w:space="0" w:color="000000"/>
            </w:tcBorders>
            <w:shd w:val="clear" w:color="auto" w:fill="FFFF00"/>
            <w:vAlign w:val="center"/>
            <w:hideMark/>
          </w:tcPr>
          <w:p w14:paraId="63036F96"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E8E8E8"/>
            <w:vAlign w:val="center"/>
            <w:hideMark/>
          </w:tcPr>
          <w:p w14:paraId="15DCC036"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 [only if a RIB project in your country]</w:t>
            </w:r>
          </w:p>
        </w:tc>
        <w:tc>
          <w:tcPr>
            <w:tcW w:w="1796" w:type="dxa"/>
            <w:tcBorders>
              <w:top w:val="nil"/>
              <w:left w:val="nil"/>
              <w:bottom w:val="single" w:sz="4" w:space="0" w:color="000000"/>
              <w:right w:val="single" w:sz="4" w:space="0" w:color="000000"/>
            </w:tcBorders>
            <w:shd w:val="clear" w:color="auto" w:fill="FFFF00"/>
            <w:vAlign w:val="center"/>
            <w:hideMark/>
          </w:tcPr>
          <w:p w14:paraId="50C68E9D"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E8E8E8"/>
            <w:vAlign w:val="bottom"/>
            <w:hideMark/>
          </w:tcPr>
          <w:p w14:paraId="6C5A034F" w14:textId="77777777" w:rsidR="00293CE6" w:rsidRPr="00293CE6" w:rsidRDefault="00293CE6" w:rsidP="00293CE6">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4" w:space="0" w:color="000000"/>
              <w:right w:val="single" w:sz="8" w:space="0" w:color="000000"/>
            </w:tcBorders>
            <w:shd w:val="clear" w:color="auto" w:fill="auto"/>
            <w:vAlign w:val="center"/>
            <w:hideMark/>
          </w:tcPr>
          <w:p w14:paraId="543DEB94" w14:textId="77777777" w:rsidR="00293CE6" w:rsidRPr="00293CE6" w:rsidRDefault="00293CE6" w:rsidP="00293CE6">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293CE6" w:rsidRPr="00293CE6" w14:paraId="2FBB9762" w14:textId="77777777" w:rsidTr="1FCB43CC">
        <w:trPr>
          <w:trHeight w:val="495"/>
        </w:trPr>
        <w:tc>
          <w:tcPr>
            <w:tcW w:w="3368" w:type="dxa"/>
            <w:gridSpan w:val="3"/>
            <w:vMerge/>
            <w:vAlign w:val="center"/>
            <w:hideMark/>
          </w:tcPr>
          <w:p w14:paraId="5AEA0FA2" w14:textId="77777777" w:rsidR="00293CE6" w:rsidRPr="00293CE6" w:rsidRDefault="00293CE6" w:rsidP="00293CE6">
            <w:pPr>
              <w:spacing w:after="0" w:line="240" w:lineRule="auto"/>
              <w:rPr>
                <w:rFonts w:ascii="Titillium" w:eastAsia="Times New Roman" w:hAnsi="Titillium" w:cs="Times New Roman"/>
                <w:color w:val="FFFFFF"/>
                <w:sz w:val="16"/>
                <w:szCs w:val="16"/>
                <w:lang w:eastAsia="en-GB"/>
              </w:rPr>
            </w:pPr>
          </w:p>
        </w:tc>
        <w:tc>
          <w:tcPr>
            <w:tcW w:w="1936" w:type="dxa"/>
            <w:tcBorders>
              <w:top w:val="nil"/>
              <w:left w:val="nil"/>
              <w:bottom w:val="single" w:sz="4" w:space="0" w:color="000000"/>
              <w:right w:val="single" w:sz="4" w:space="0" w:color="000000"/>
            </w:tcBorders>
            <w:shd w:val="clear" w:color="auto" w:fill="auto"/>
            <w:vAlign w:val="center"/>
            <w:hideMark/>
          </w:tcPr>
          <w:p w14:paraId="6066A2D3" w14:textId="77777777" w:rsidR="00293CE6" w:rsidRPr="00293CE6" w:rsidRDefault="00293CE6" w:rsidP="00293CE6">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 xml:space="preserve">Number of participants </w:t>
            </w:r>
          </w:p>
        </w:tc>
        <w:tc>
          <w:tcPr>
            <w:tcW w:w="1796" w:type="dxa"/>
            <w:tcBorders>
              <w:top w:val="nil"/>
              <w:left w:val="nil"/>
              <w:bottom w:val="single" w:sz="4" w:space="0" w:color="000000"/>
              <w:right w:val="single" w:sz="4" w:space="0" w:color="000000"/>
            </w:tcBorders>
            <w:shd w:val="clear" w:color="auto" w:fill="E8E8E8"/>
            <w:vAlign w:val="bottom"/>
            <w:hideMark/>
          </w:tcPr>
          <w:p w14:paraId="5C8164D9" w14:textId="77777777" w:rsidR="00293CE6" w:rsidRPr="00293CE6" w:rsidRDefault="00293CE6" w:rsidP="00293CE6">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4" w:space="0" w:color="000000"/>
              <w:right w:val="single" w:sz="4" w:space="0" w:color="000000"/>
            </w:tcBorders>
            <w:shd w:val="clear" w:color="auto" w:fill="E8E8E8"/>
            <w:vAlign w:val="bottom"/>
            <w:hideMark/>
          </w:tcPr>
          <w:p w14:paraId="6B06BDC2" w14:textId="77777777" w:rsidR="00293CE6" w:rsidRPr="00293CE6" w:rsidRDefault="00293CE6" w:rsidP="00293CE6">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4" w:space="0" w:color="000000"/>
              <w:right w:val="single" w:sz="4" w:space="0" w:color="000000"/>
            </w:tcBorders>
            <w:shd w:val="clear" w:color="auto" w:fill="E8E8E8"/>
            <w:vAlign w:val="bottom"/>
            <w:hideMark/>
          </w:tcPr>
          <w:p w14:paraId="7CAAAF03" w14:textId="77777777" w:rsidR="00293CE6" w:rsidRPr="00293CE6" w:rsidRDefault="00293CE6" w:rsidP="00293CE6">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4" w:space="0" w:color="000000"/>
              <w:right w:val="single" w:sz="4" w:space="0" w:color="000000"/>
            </w:tcBorders>
            <w:shd w:val="clear" w:color="auto" w:fill="FFFF00"/>
            <w:vAlign w:val="center"/>
            <w:hideMark/>
          </w:tcPr>
          <w:p w14:paraId="3B0909E4"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8" w:space="0" w:color="000000"/>
            </w:tcBorders>
            <w:shd w:val="clear" w:color="auto" w:fill="auto"/>
            <w:vAlign w:val="center"/>
            <w:hideMark/>
          </w:tcPr>
          <w:p w14:paraId="64CD36C9" w14:textId="77777777" w:rsidR="00293CE6" w:rsidRPr="00293CE6" w:rsidRDefault="00293CE6" w:rsidP="00293CE6">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293CE6" w:rsidRPr="0040660E" w14:paraId="7B548D5D" w14:textId="77777777" w:rsidTr="1FCB43CC">
        <w:trPr>
          <w:trHeight w:val="1005"/>
        </w:trPr>
        <w:tc>
          <w:tcPr>
            <w:tcW w:w="3368" w:type="dxa"/>
            <w:gridSpan w:val="3"/>
            <w:vMerge w:val="restart"/>
            <w:tcBorders>
              <w:top w:val="single" w:sz="4" w:space="0" w:color="000000"/>
              <w:left w:val="single" w:sz="8" w:space="0" w:color="000000"/>
              <w:bottom w:val="single" w:sz="8" w:space="0" w:color="000000"/>
              <w:right w:val="single" w:sz="4" w:space="0" w:color="000000"/>
            </w:tcBorders>
            <w:shd w:val="clear" w:color="auto" w:fill="034EA2" w:themeFill="text2"/>
            <w:vAlign w:val="center"/>
            <w:hideMark/>
          </w:tcPr>
          <w:p w14:paraId="4AAB66B0" w14:textId="77777777" w:rsidR="00293CE6" w:rsidRPr="00293CE6" w:rsidRDefault="00293CE6" w:rsidP="00293CE6">
            <w:pPr>
              <w:spacing w:after="0" w:line="240" w:lineRule="auto"/>
              <w:jc w:val="center"/>
              <w:rPr>
                <w:rFonts w:ascii="Titillium" w:eastAsia="Times New Roman" w:hAnsi="Titillium" w:cs="Times New Roman"/>
                <w:color w:val="FFFFFF"/>
                <w:sz w:val="16"/>
                <w:szCs w:val="16"/>
                <w:lang w:eastAsia="en-GB"/>
              </w:rPr>
            </w:pPr>
            <w:r w:rsidRPr="00293CE6">
              <w:rPr>
                <w:rFonts w:ascii="Titillium" w:eastAsia="Times New Roman" w:hAnsi="Titillium" w:cs="Times New Roman"/>
                <w:color w:val="FFFFFF"/>
                <w:sz w:val="16"/>
                <w:szCs w:val="16"/>
                <w:lang w:eastAsia="en-GB"/>
              </w:rPr>
              <w:t> EITECO02 - Applicants, participants supported/referred to individual KIC’s innovation, education, business creation calls and training programmes</w:t>
            </w:r>
          </w:p>
        </w:tc>
        <w:tc>
          <w:tcPr>
            <w:tcW w:w="1936" w:type="dxa"/>
            <w:tcBorders>
              <w:top w:val="nil"/>
              <w:left w:val="nil"/>
              <w:bottom w:val="single" w:sz="4" w:space="0" w:color="000000"/>
              <w:right w:val="single" w:sz="4" w:space="0" w:color="000000"/>
            </w:tcBorders>
            <w:shd w:val="clear" w:color="auto" w:fill="auto"/>
            <w:noWrap/>
            <w:vAlign w:val="center"/>
            <w:hideMark/>
          </w:tcPr>
          <w:p w14:paraId="2C8F50D8" w14:textId="77777777" w:rsidR="00293CE6" w:rsidRPr="00293CE6" w:rsidRDefault="00293CE6" w:rsidP="00293CE6">
            <w:pPr>
              <w:spacing w:after="0" w:line="240" w:lineRule="auto"/>
              <w:jc w:val="center"/>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KPI</w:t>
            </w:r>
          </w:p>
        </w:tc>
        <w:tc>
          <w:tcPr>
            <w:tcW w:w="1796" w:type="dxa"/>
            <w:tcBorders>
              <w:top w:val="nil"/>
              <w:left w:val="nil"/>
              <w:bottom w:val="single" w:sz="4" w:space="0" w:color="000000"/>
              <w:right w:val="single" w:sz="4" w:space="0" w:color="000000"/>
            </w:tcBorders>
            <w:shd w:val="clear" w:color="auto" w:fill="auto"/>
            <w:vAlign w:val="center"/>
            <w:hideMark/>
          </w:tcPr>
          <w:p w14:paraId="111D3F52" w14:textId="77777777" w:rsidR="00293CE6" w:rsidRPr="00293CE6" w:rsidRDefault="00293CE6" w:rsidP="00293CE6">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1 </w:t>
            </w:r>
            <w:r w:rsidRPr="00293CE6">
              <w:rPr>
                <w:rFonts w:ascii="Titillium" w:eastAsia="Times New Roman" w:hAnsi="Titillium" w:cs="Times New Roman"/>
                <w:b/>
                <w:bCs/>
                <w:i/>
                <w:iCs/>
                <w:color w:val="000000"/>
                <w:sz w:val="16"/>
                <w:szCs w:val="16"/>
                <w:lang w:eastAsia="en-GB"/>
              </w:rPr>
              <w:br/>
              <w:t>EIT KICs Innovation Calls</w:t>
            </w:r>
          </w:p>
        </w:tc>
        <w:tc>
          <w:tcPr>
            <w:tcW w:w="1796" w:type="dxa"/>
            <w:tcBorders>
              <w:top w:val="nil"/>
              <w:left w:val="nil"/>
              <w:bottom w:val="single" w:sz="4" w:space="0" w:color="000000"/>
              <w:right w:val="single" w:sz="4" w:space="0" w:color="000000"/>
            </w:tcBorders>
            <w:shd w:val="clear" w:color="auto" w:fill="auto"/>
            <w:vAlign w:val="center"/>
            <w:hideMark/>
          </w:tcPr>
          <w:p w14:paraId="2A12DFE4" w14:textId="77777777" w:rsidR="00293CE6" w:rsidRPr="00293CE6" w:rsidRDefault="00293CE6" w:rsidP="00293CE6">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2 </w:t>
            </w:r>
            <w:r w:rsidRPr="00293CE6">
              <w:rPr>
                <w:rFonts w:ascii="Titillium" w:eastAsia="Times New Roman" w:hAnsi="Titillium" w:cs="Times New Roman"/>
                <w:b/>
                <w:bCs/>
                <w:i/>
                <w:iCs/>
                <w:color w:val="000000"/>
                <w:sz w:val="16"/>
                <w:szCs w:val="16"/>
                <w:lang w:eastAsia="en-GB"/>
              </w:rPr>
              <w:br/>
              <w:t>EIT KICs Education Calls</w:t>
            </w:r>
          </w:p>
        </w:tc>
        <w:tc>
          <w:tcPr>
            <w:tcW w:w="1796" w:type="dxa"/>
            <w:tcBorders>
              <w:top w:val="nil"/>
              <w:left w:val="nil"/>
              <w:bottom w:val="single" w:sz="4" w:space="0" w:color="000000"/>
              <w:right w:val="single" w:sz="4" w:space="0" w:color="000000"/>
            </w:tcBorders>
            <w:shd w:val="clear" w:color="auto" w:fill="auto"/>
            <w:vAlign w:val="center"/>
            <w:hideMark/>
          </w:tcPr>
          <w:p w14:paraId="31240306" w14:textId="77777777" w:rsidR="00293CE6" w:rsidRPr="00293CE6" w:rsidRDefault="00293CE6" w:rsidP="00293CE6">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3</w:t>
            </w:r>
            <w:r w:rsidRPr="00293CE6">
              <w:rPr>
                <w:rFonts w:ascii="Titillium" w:eastAsia="Times New Roman" w:hAnsi="Titillium" w:cs="Times New Roman"/>
                <w:b/>
                <w:bCs/>
                <w:i/>
                <w:iCs/>
                <w:color w:val="000000"/>
                <w:sz w:val="16"/>
                <w:szCs w:val="16"/>
                <w:lang w:eastAsia="en-GB"/>
              </w:rPr>
              <w:br/>
              <w:t>EIT KICs Business Creation Calls</w:t>
            </w:r>
          </w:p>
        </w:tc>
        <w:tc>
          <w:tcPr>
            <w:tcW w:w="1796" w:type="dxa"/>
            <w:tcBorders>
              <w:top w:val="nil"/>
              <w:left w:val="nil"/>
              <w:bottom w:val="single" w:sz="4" w:space="0" w:color="000000"/>
              <w:right w:val="single" w:sz="4" w:space="0" w:color="000000"/>
            </w:tcBorders>
            <w:shd w:val="clear" w:color="auto" w:fill="auto"/>
            <w:vAlign w:val="center"/>
            <w:hideMark/>
          </w:tcPr>
          <w:p w14:paraId="4D94C4D0" w14:textId="77777777" w:rsidR="00293CE6" w:rsidRPr="00293CE6" w:rsidRDefault="00293CE6" w:rsidP="00293CE6">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4</w:t>
            </w:r>
            <w:r w:rsidRPr="00293CE6">
              <w:rPr>
                <w:rFonts w:ascii="Titillium" w:eastAsia="Times New Roman" w:hAnsi="Titillium" w:cs="Times New Roman"/>
                <w:b/>
                <w:bCs/>
                <w:i/>
                <w:iCs/>
                <w:color w:val="000000"/>
                <w:sz w:val="16"/>
                <w:szCs w:val="16"/>
                <w:lang w:eastAsia="en-GB"/>
              </w:rPr>
              <w:br/>
              <w:t>EIT KICs training programmes</w:t>
            </w:r>
          </w:p>
        </w:tc>
        <w:tc>
          <w:tcPr>
            <w:tcW w:w="1796" w:type="dxa"/>
            <w:tcBorders>
              <w:top w:val="nil"/>
              <w:left w:val="nil"/>
              <w:bottom w:val="single" w:sz="4" w:space="0" w:color="000000"/>
              <w:right w:val="single" w:sz="8" w:space="0" w:color="000000"/>
            </w:tcBorders>
            <w:shd w:val="clear" w:color="auto" w:fill="auto"/>
            <w:vAlign w:val="center"/>
            <w:hideMark/>
          </w:tcPr>
          <w:p w14:paraId="5F4F2BEA" w14:textId="77777777" w:rsidR="00293CE6" w:rsidRPr="00293CE6" w:rsidRDefault="00293CE6" w:rsidP="00293CE6">
            <w:pPr>
              <w:spacing w:after="0" w:line="240" w:lineRule="auto"/>
              <w:jc w:val="center"/>
              <w:rPr>
                <w:rFonts w:ascii="Titillium" w:eastAsia="Times New Roman" w:hAnsi="Titillium" w:cs="Times New Roman"/>
                <w:b/>
                <w:bCs/>
                <w:i/>
                <w:iCs/>
                <w:color w:val="333333"/>
                <w:sz w:val="16"/>
                <w:szCs w:val="16"/>
                <w:lang w:val="fr-FR" w:eastAsia="en-GB"/>
              </w:rPr>
            </w:pPr>
            <w:r w:rsidRPr="00293CE6">
              <w:rPr>
                <w:rFonts w:ascii="Titillium" w:eastAsia="Times New Roman" w:hAnsi="Titillium" w:cs="Times New Roman"/>
                <w:b/>
                <w:bCs/>
                <w:i/>
                <w:iCs/>
                <w:color w:val="333333"/>
                <w:sz w:val="16"/>
                <w:szCs w:val="16"/>
                <w:lang w:val="fr-FR" w:eastAsia="en-GB"/>
              </w:rPr>
              <w:t>KPI Total</w:t>
            </w:r>
            <w:r w:rsidRPr="00293CE6">
              <w:rPr>
                <w:rFonts w:ascii="Titillium" w:eastAsia="Times New Roman" w:hAnsi="Titillium" w:cs="Times New Roman"/>
                <w:b/>
                <w:bCs/>
                <w:i/>
                <w:iCs/>
                <w:color w:val="333333"/>
                <w:sz w:val="16"/>
                <w:szCs w:val="16"/>
                <w:lang w:val="fr-FR" w:eastAsia="en-GB"/>
              </w:rPr>
              <w:br/>
            </w:r>
            <w:r w:rsidRPr="00293CE6">
              <w:rPr>
                <w:rFonts w:ascii="Titillium" w:eastAsia="Times New Roman" w:hAnsi="Titillium" w:cs="Times New Roman"/>
                <w:i/>
                <w:iCs/>
                <w:color w:val="333333"/>
                <w:sz w:val="16"/>
                <w:szCs w:val="16"/>
                <w:lang w:val="fr-FR" w:eastAsia="en-GB"/>
              </w:rPr>
              <w:t>Minimum:</w:t>
            </w:r>
            <w:r w:rsidRPr="00293CE6">
              <w:rPr>
                <w:rFonts w:ascii="Titillium" w:eastAsia="Times New Roman" w:hAnsi="Titillium" w:cs="Times New Roman"/>
                <w:i/>
                <w:iCs/>
                <w:color w:val="333333"/>
                <w:sz w:val="16"/>
                <w:szCs w:val="16"/>
                <w:lang w:val="fr-FR" w:eastAsia="en-GB"/>
              </w:rPr>
              <w:br/>
              <w:t xml:space="preserve">5 </w:t>
            </w:r>
            <w:proofErr w:type="spellStart"/>
            <w:r w:rsidRPr="00293CE6">
              <w:rPr>
                <w:rFonts w:ascii="Titillium" w:eastAsia="Times New Roman" w:hAnsi="Titillium" w:cs="Times New Roman"/>
                <w:i/>
                <w:iCs/>
                <w:color w:val="333333"/>
                <w:sz w:val="16"/>
                <w:szCs w:val="16"/>
                <w:lang w:val="fr-FR" w:eastAsia="en-GB"/>
              </w:rPr>
              <w:t>applicants</w:t>
            </w:r>
            <w:proofErr w:type="spellEnd"/>
            <w:r w:rsidRPr="00293CE6">
              <w:rPr>
                <w:rFonts w:ascii="Titillium" w:eastAsia="Times New Roman" w:hAnsi="Titillium" w:cs="Times New Roman"/>
                <w:i/>
                <w:iCs/>
                <w:color w:val="333333"/>
                <w:sz w:val="16"/>
                <w:szCs w:val="16"/>
                <w:lang w:val="fr-FR" w:eastAsia="en-GB"/>
              </w:rPr>
              <w:br/>
              <w:t xml:space="preserve">5 participants </w:t>
            </w:r>
          </w:p>
        </w:tc>
      </w:tr>
      <w:tr w:rsidR="00293CE6" w:rsidRPr="00293CE6" w14:paraId="30C52B59" w14:textId="77777777" w:rsidTr="1FCB43CC">
        <w:trPr>
          <w:trHeight w:val="495"/>
        </w:trPr>
        <w:tc>
          <w:tcPr>
            <w:tcW w:w="3368" w:type="dxa"/>
            <w:gridSpan w:val="3"/>
            <w:vMerge/>
            <w:vAlign w:val="center"/>
            <w:hideMark/>
          </w:tcPr>
          <w:p w14:paraId="75C0356C" w14:textId="77777777" w:rsidR="00293CE6" w:rsidRPr="00293CE6" w:rsidRDefault="00293CE6" w:rsidP="00293CE6">
            <w:pPr>
              <w:spacing w:after="0" w:line="240" w:lineRule="auto"/>
              <w:rPr>
                <w:rFonts w:ascii="Titillium" w:eastAsia="Times New Roman" w:hAnsi="Titillium" w:cs="Times New Roman"/>
                <w:color w:val="FFFFFF"/>
                <w:sz w:val="16"/>
                <w:szCs w:val="16"/>
                <w:lang w:val="fr-FR" w:eastAsia="en-GB"/>
              </w:rPr>
            </w:pPr>
          </w:p>
        </w:tc>
        <w:tc>
          <w:tcPr>
            <w:tcW w:w="1936" w:type="dxa"/>
            <w:tcBorders>
              <w:top w:val="nil"/>
              <w:left w:val="nil"/>
              <w:bottom w:val="single" w:sz="4" w:space="0" w:color="000000"/>
              <w:right w:val="single" w:sz="4" w:space="0" w:color="000000"/>
            </w:tcBorders>
            <w:shd w:val="clear" w:color="auto" w:fill="auto"/>
            <w:vAlign w:val="center"/>
            <w:hideMark/>
          </w:tcPr>
          <w:p w14:paraId="69CE6E30" w14:textId="77777777" w:rsidR="00293CE6" w:rsidRPr="00293CE6" w:rsidRDefault="00293CE6" w:rsidP="00293CE6">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 xml:space="preserve">Number of applications </w:t>
            </w:r>
          </w:p>
        </w:tc>
        <w:tc>
          <w:tcPr>
            <w:tcW w:w="1796" w:type="dxa"/>
            <w:tcBorders>
              <w:top w:val="nil"/>
              <w:left w:val="nil"/>
              <w:bottom w:val="single" w:sz="4" w:space="0" w:color="000000"/>
              <w:right w:val="single" w:sz="4" w:space="0" w:color="000000"/>
            </w:tcBorders>
            <w:shd w:val="clear" w:color="auto" w:fill="FFFF00"/>
            <w:vAlign w:val="center"/>
            <w:hideMark/>
          </w:tcPr>
          <w:p w14:paraId="2F660E51"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FFFF00"/>
            <w:vAlign w:val="center"/>
            <w:hideMark/>
          </w:tcPr>
          <w:p w14:paraId="793FFBF5"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FFFF00"/>
            <w:vAlign w:val="center"/>
            <w:hideMark/>
          </w:tcPr>
          <w:p w14:paraId="26B1F199"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E8E8E8"/>
            <w:vAlign w:val="bottom"/>
            <w:hideMark/>
          </w:tcPr>
          <w:p w14:paraId="138E3D59" w14:textId="77777777" w:rsidR="00293CE6" w:rsidRPr="00293CE6" w:rsidRDefault="00293CE6" w:rsidP="00293CE6">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4" w:space="0" w:color="000000"/>
              <w:right w:val="single" w:sz="8" w:space="0" w:color="000000"/>
            </w:tcBorders>
            <w:shd w:val="clear" w:color="auto" w:fill="auto"/>
            <w:vAlign w:val="center"/>
            <w:hideMark/>
          </w:tcPr>
          <w:p w14:paraId="52D42CBD" w14:textId="77777777" w:rsidR="00293CE6" w:rsidRPr="00293CE6" w:rsidRDefault="00293CE6" w:rsidP="00293CE6">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293CE6" w:rsidRPr="00293CE6" w14:paraId="267F5965" w14:textId="77777777" w:rsidTr="1FCB43CC">
        <w:trPr>
          <w:trHeight w:val="495"/>
        </w:trPr>
        <w:tc>
          <w:tcPr>
            <w:tcW w:w="3368" w:type="dxa"/>
            <w:gridSpan w:val="3"/>
            <w:vMerge/>
            <w:vAlign w:val="center"/>
            <w:hideMark/>
          </w:tcPr>
          <w:p w14:paraId="171CC343" w14:textId="77777777" w:rsidR="00293CE6" w:rsidRPr="00293CE6" w:rsidRDefault="00293CE6" w:rsidP="00293CE6">
            <w:pPr>
              <w:spacing w:after="0" w:line="240" w:lineRule="auto"/>
              <w:rPr>
                <w:rFonts w:ascii="Titillium" w:eastAsia="Times New Roman" w:hAnsi="Titillium" w:cs="Times New Roman"/>
                <w:color w:val="FFFFFF"/>
                <w:sz w:val="16"/>
                <w:szCs w:val="16"/>
                <w:lang w:eastAsia="en-GB"/>
              </w:rPr>
            </w:pPr>
          </w:p>
        </w:tc>
        <w:tc>
          <w:tcPr>
            <w:tcW w:w="1936" w:type="dxa"/>
            <w:tcBorders>
              <w:top w:val="nil"/>
              <w:left w:val="nil"/>
              <w:bottom w:val="single" w:sz="8" w:space="0" w:color="000000"/>
              <w:right w:val="single" w:sz="4" w:space="0" w:color="000000"/>
            </w:tcBorders>
            <w:shd w:val="clear" w:color="auto" w:fill="auto"/>
            <w:vAlign w:val="center"/>
            <w:hideMark/>
          </w:tcPr>
          <w:p w14:paraId="457B9138" w14:textId="77777777" w:rsidR="00293CE6" w:rsidRPr="00293CE6" w:rsidRDefault="00293CE6" w:rsidP="00293CE6">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 xml:space="preserve">Number of participants </w:t>
            </w:r>
          </w:p>
        </w:tc>
        <w:tc>
          <w:tcPr>
            <w:tcW w:w="1796" w:type="dxa"/>
            <w:tcBorders>
              <w:top w:val="nil"/>
              <w:left w:val="nil"/>
              <w:bottom w:val="single" w:sz="8" w:space="0" w:color="000000"/>
              <w:right w:val="single" w:sz="4" w:space="0" w:color="000000"/>
            </w:tcBorders>
            <w:shd w:val="clear" w:color="auto" w:fill="E8E8E8"/>
            <w:vAlign w:val="bottom"/>
            <w:hideMark/>
          </w:tcPr>
          <w:p w14:paraId="307EEDCE" w14:textId="77777777" w:rsidR="00293CE6" w:rsidRPr="00293CE6" w:rsidRDefault="00293CE6" w:rsidP="00293CE6">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8" w:space="0" w:color="000000"/>
              <w:right w:val="single" w:sz="4" w:space="0" w:color="000000"/>
            </w:tcBorders>
            <w:shd w:val="clear" w:color="auto" w:fill="E8E8E8"/>
            <w:vAlign w:val="bottom"/>
            <w:hideMark/>
          </w:tcPr>
          <w:p w14:paraId="1075D739" w14:textId="77777777" w:rsidR="00293CE6" w:rsidRPr="00293CE6" w:rsidRDefault="00293CE6" w:rsidP="00293CE6">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8" w:space="0" w:color="000000"/>
              <w:right w:val="single" w:sz="4" w:space="0" w:color="000000"/>
            </w:tcBorders>
            <w:shd w:val="clear" w:color="auto" w:fill="E8E8E8"/>
            <w:vAlign w:val="bottom"/>
            <w:hideMark/>
          </w:tcPr>
          <w:p w14:paraId="13CE61F4" w14:textId="77777777" w:rsidR="00293CE6" w:rsidRPr="00293CE6" w:rsidRDefault="00293CE6" w:rsidP="00293CE6">
            <w:pPr>
              <w:spacing w:after="0" w:line="240" w:lineRule="auto"/>
              <w:jc w:val="center"/>
              <w:rPr>
                <w:rFonts w:ascii="Titillium" w:eastAsia="Times New Roman" w:hAnsi="Titillium" w:cs="Times New Roman"/>
                <w:i/>
                <w:iCs/>
                <w:color w:val="747474"/>
                <w:sz w:val="16"/>
                <w:szCs w:val="16"/>
                <w:lang w:eastAsia="en-GB"/>
              </w:rPr>
            </w:pPr>
            <w:r w:rsidRPr="00293CE6">
              <w:rPr>
                <w:rFonts w:ascii="Titillium" w:eastAsia="Times New Roman" w:hAnsi="Titillium" w:cs="Times New Roman"/>
                <w:i/>
                <w:iCs/>
                <w:color w:val="747474"/>
                <w:sz w:val="16"/>
                <w:szCs w:val="16"/>
                <w:lang w:eastAsia="en-GB"/>
              </w:rPr>
              <w:t>do not write</w:t>
            </w:r>
          </w:p>
        </w:tc>
        <w:tc>
          <w:tcPr>
            <w:tcW w:w="1796" w:type="dxa"/>
            <w:tcBorders>
              <w:top w:val="nil"/>
              <w:left w:val="nil"/>
              <w:bottom w:val="single" w:sz="8" w:space="0" w:color="000000"/>
              <w:right w:val="single" w:sz="4" w:space="0" w:color="000000"/>
            </w:tcBorders>
            <w:shd w:val="clear" w:color="auto" w:fill="FFFF00"/>
            <w:vAlign w:val="center"/>
            <w:hideMark/>
          </w:tcPr>
          <w:p w14:paraId="6F90829D"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8" w:space="0" w:color="000000"/>
              <w:right w:val="single" w:sz="8" w:space="0" w:color="000000"/>
            </w:tcBorders>
            <w:shd w:val="clear" w:color="auto" w:fill="auto"/>
            <w:vAlign w:val="center"/>
            <w:hideMark/>
          </w:tcPr>
          <w:p w14:paraId="15EFAAFD" w14:textId="77777777" w:rsidR="00293CE6" w:rsidRPr="00293CE6" w:rsidRDefault="00293CE6" w:rsidP="00293CE6">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293CE6" w:rsidRPr="00293CE6" w14:paraId="53EF6063" w14:textId="77777777" w:rsidTr="1FCB43CC">
        <w:trPr>
          <w:trHeight w:val="1005"/>
        </w:trPr>
        <w:tc>
          <w:tcPr>
            <w:tcW w:w="12488" w:type="dxa"/>
            <w:gridSpan w:val="8"/>
            <w:tcBorders>
              <w:top w:val="nil"/>
              <w:left w:val="single" w:sz="4" w:space="0" w:color="000000"/>
              <w:bottom w:val="single" w:sz="4" w:space="0" w:color="000000"/>
              <w:right w:val="single" w:sz="4" w:space="0" w:color="000000"/>
            </w:tcBorders>
            <w:shd w:val="clear" w:color="auto" w:fill="D9D9D9" w:themeFill="background1" w:themeFillShade="D9"/>
            <w:vAlign w:val="bottom"/>
            <w:hideMark/>
          </w:tcPr>
          <w:p w14:paraId="7E9534FB" w14:textId="77777777" w:rsidR="00293CE6" w:rsidRPr="00293CE6" w:rsidRDefault="00293CE6" w:rsidP="00293CE6">
            <w:pPr>
              <w:spacing w:after="0" w:line="240" w:lineRule="auto"/>
              <w:jc w:val="center"/>
              <w:rPr>
                <w:rFonts w:ascii="Titillium" w:eastAsia="Times New Roman" w:hAnsi="Titillium" w:cs="Times New Roman"/>
                <w:color w:val="000000"/>
                <w:szCs w:val="20"/>
                <w:lang w:eastAsia="en-GB"/>
              </w:rPr>
            </w:pPr>
            <w:r w:rsidRPr="00293CE6">
              <w:rPr>
                <w:rFonts w:ascii="Titillium" w:eastAsia="Times New Roman" w:hAnsi="Titillium" w:cs="Times New Roman"/>
                <w:color w:val="000000"/>
                <w:szCs w:val="20"/>
                <w:lang w:eastAsia="en-GB"/>
              </w:rPr>
              <w:t xml:space="preserve">ACTIVITIES </w:t>
            </w:r>
            <w:r w:rsidRPr="00293CE6">
              <w:rPr>
                <w:rFonts w:ascii="Titillium" w:eastAsia="Times New Roman" w:hAnsi="Titillium" w:cs="Times New Roman"/>
                <w:color w:val="000000"/>
                <w:szCs w:val="20"/>
                <w:lang w:eastAsia="en-GB"/>
              </w:rPr>
              <w:br/>
              <w:t>M - Mandatory activities must be implemented and metrics filled in, O - Optional activities can be selected and metrics need to be given for selected</w:t>
            </w:r>
            <w:r w:rsidRPr="00293CE6">
              <w:rPr>
                <w:rFonts w:ascii="Titillium" w:eastAsia="Times New Roman" w:hAnsi="Titillium" w:cs="Times New Roman"/>
                <w:color w:val="000000"/>
                <w:szCs w:val="20"/>
                <w:lang w:eastAsia="en-GB"/>
              </w:rPr>
              <w:br/>
              <w:t>All activities must be implemented or facilitated by the EIT Community Officer</w:t>
            </w:r>
          </w:p>
        </w:tc>
        <w:tc>
          <w:tcPr>
            <w:tcW w:w="1796" w:type="dxa"/>
            <w:tcBorders>
              <w:top w:val="nil"/>
              <w:left w:val="nil"/>
              <w:bottom w:val="nil"/>
              <w:right w:val="single" w:sz="8" w:space="0" w:color="000000"/>
            </w:tcBorders>
            <w:shd w:val="clear" w:color="auto" w:fill="auto"/>
            <w:vAlign w:val="center"/>
            <w:hideMark/>
          </w:tcPr>
          <w:p w14:paraId="3D1E715A" w14:textId="77777777" w:rsidR="00293CE6" w:rsidRPr="00293CE6" w:rsidRDefault="00293CE6" w:rsidP="00293CE6">
            <w:pPr>
              <w:spacing w:after="0" w:line="240" w:lineRule="auto"/>
              <w:jc w:val="center"/>
              <w:rPr>
                <w:rFonts w:ascii="Titillium" w:eastAsia="Times New Roman" w:hAnsi="Titillium" w:cs="Times New Roman"/>
                <w:b/>
                <w:bCs/>
                <w:i/>
                <w:iCs/>
                <w:color w:val="333333"/>
                <w:sz w:val="16"/>
                <w:szCs w:val="16"/>
                <w:lang w:eastAsia="en-GB"/>
              </w:rPr>
            </w:pPr>
            <w:r w:rsidRPr="00293CE6">
              <w:rPr>
                <w:rFonts w:ascii="Titillium" w:eastAsia="Times New Roman" w:hAnsi="Titillium" w:cs="Times New Roman"/>
                <w:b/>
                <w:bCs/>
                <w:i/>
                <w:iCs/>
                <w:color w:val="333333"/>
                <w:sz w:val="16"/>
                <w:szCs w:val="16"/>
                <w:lang w:eastAsia="en-GB"/>
              </w:rPr>
              <w:t>Metrics</w:t>
            </w:r>
          </w:p>
        </w:tc>
      </w:tr>
      <w:tr w:rsidR="00293CE6" w:rsidRPr="00293CE6" w14:paraId="6E6ABCD7" w14:textId="77777777" w:rsidTr="1FCB43CC">
        <w:trPr>
          <w:trHeight w:val="405"/>
        </w:trPr>
        <w:tc>
          <w:tcPr>
            <w:tcW w:w="676" w:type="dxa"/>
            <w:tcBorders>
              <w:top w:val="nil"/>
              <w:left w:val="single" w:sz="4" w:space="0" w:color="000000"/>
              <w:bottom w:val="single" w:sz="4" w:space="0" w:color="000000"/>
              <w:right w:val="nil"/>
            </w:tcBorders>
            <w:shd w:val="clear" w:color="auto" w:fill="auto"/>
            <w:noWrap/>
            <w:vAlign w:val="center"/>
            <w:hideMark/>
          </w:tcPr>
          <w:p w14:paraId="215195E0" w14:textId="0FB86BEF" w:rsidR="00293CE6" w:rsidRPr="00293CE6" w:rsidRDefault="00317518" w:rsidP="00293CE6">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shd w:val="clear" w:color="auto" w:fill="auto"/>
            <w:noWrap/>
            <w:vAlign w:val="center"/>
            <w:hideMark/>
          </w:tcPr>
          <w:p w14:paraId="51EF7908" w14:textId="77777777" w:rsidR="00293CE6" w:rsidRPr="00293CE6" w:rsidRDefault="00293CE6" w:rsidP="00293CE6">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nil"/>
              <w:right w:val="single" w:sz="4" w:space="0" w:color="000000"/>
            </w:tcBorders>
            <w:shd w:val="clear" w:color="auto" w:fill="auto"/>
            <w:vAlign w:val="center"/>
            <w:hideMark/>
          </w:tcPr>
          <w:p w14:paraId="6B030CC2" w14:textId="77777777" w:rsidR="00293CE6" w:rsidRPr="00293CE6" w:rsidRDefault="00293CE6" w:rsidP="00293CE6">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Personalised outreach and support / Number of intermediary organisations (e.g.: universities, startup associations) engaged to support outreach (min. 6)</w:t>
            </w:r>
          </w:p>
        </w:tc>
        <w:tc>
          <w:tcPr>
            <w:tcW w:w="1796" w:type="dxa"/>
            <w:tcBorders>
              <w:top w:val="single" w:sz="4" w:space="0" w:color="000000"/>
              <w:left w:val="nil"/>
              <w:bottom w:val="single" w:sz="4" w:space="0" w:color="000000"/>
              <w:right w:val="single" w:sz="4" w:space="0" w:color="000000"/>
            </w:tcBorders>
            <w:shd w:val="clear" w:color="auto" w:fill="FFFF00"/>
            <w:vAlign w:val="center"/>
            <w:hideMark/>
          </w:tcPr>
          <w:p w14:paraId="6F0D5B0C"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293CE6" w:rsidRPr="00293CE6" w14:paraId="718CF93F" w14:textId="77777777" w:rsidTr="1FCB43CC">
        <w:trPr>
          <w:trHeight w:val="405"/>
        </w:trPr>
        <w:tc>
          <w:tcPr>
            <w:tcW w:w="676" w:type="dxa"/>
            <w:tcBorders>
              <w:top w:val="nil"/>
              <w:left w:val="single" w:sz="4" w:space="0" w:color="000000"/>
              <w:bottom w:val="single" w:sz="4" w:space="0" w:color="000000"/>
              <w:right w:val="nil"/>
            </w:tcBorders>
            <w:shd w:val="clear" w:color="auto" w:fill="auto"/>
            <w:noWrap/>
            <w:vAlign w:val="center"/>
            <w:hideMark/>
          </w:tcPr>
          <w:p w14:paraId="0FDB6A16" w14:textId="42DAAA0A" w:rsidR="00293CE6" w:rsidRPr="00293CE6" w:rsidRDefault="00317518" w:rsidP="00293CE6">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shd w:val="clear" w:color="auto" w:fill="auto"/>
            <w:noWrap/>
            <w:vAlign w:val="center"/>
            <w:hideMark/>
          </w:tcPr>
          <w:p w14:paraId="6F8189B5" w14:textId="77777777" w:rsidR="00293CE6" w:rsidRPr="00293CE6" w:rsidRDefault="00293CE6" w:rsidP="00293CE6">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578CDC0A" w14:textId="77777777" w:rsidR="00293CE6" w:rsidRPr="00293CE6" w:rsidRDefault="00293CE6" w:rsidP="00293CE6">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EIT Community Hub country page programme-specific webpage posts (min. 6)</w:t>
            </w:r>
          </w:p>
        </w:tc>
        <w:tc>
          <w:tcPr>
            <w:tcW w:w="1796" w:type="dxa"/>
            <w:tcBorders>
              <w:top w:val="nil"/>
              <w:left w:val="nil"/>
              <w:bottom w:val="single" w:sz="4" w:space="0" w:color="000000"/>
              <w:right w:val="single" w:sz="4" w:space="0" w:color="000000"/>
            </w:tcBorders>
            <w:shd w:val="clear" w:color="auto" w:fill="FFFF00"/>
            <w:vAlign w:val="center"/>
            <w:hideMark/>
          </w:tcPr>
          <w:p w14:paraId="51E24C11"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293CE6" w:rsidRPr="00293CE6" w14:paraId="59A97EDB"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vAlign w:val="center"/>
            <w:hideMark/>
          </w:tcPr>
          <w:p w14:paraId="4842D442" w14:textId="37CBC345" w:rsidR="00293CE6" w:rsidRPr="00293CE6" w:rsidRDefault="00317518" w:rsidP="00293CE6">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46D5B0E2" w14:textId="77777777" w:rsidR="00293CE6" w:rsidRPr="00293CE6" w:rsidRDefault="00293CE6" w:rsidP="00293CE6">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0EEF9DD4" w14:textId="77777777" w:rsidR="00293CE6" w:rsidRPr="00293CE6" w:rsidRDefault="00293CE6" w:rsidP="00293CE6">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Average number of visitors of the EIT Community Hub country page posts/updates (min. 60)</w:t>
            </w:r>
          </w:p>
        </w:tc>
        <w:tc>
          <w:tcPr>
            <w:tcW w:w="1796" w:type="dxa"/>
            <w:tcBorders>
              <w:top w:val="nil"/>
              <w:left w:val="nil"/>
              <w:bottom w:val="single" w:sz="4" w:space="0" w:color="000000"/>
              <w:right w:val="single" w:sz="4" w:space="0" w:color="000000"/>
            </w:tcBorders>
            <w:shd w:val="clear" w:color="auto" w:fill="FFFF00"/>
            <w:vAlign w:val="center"/>
            <w:hideMark/>
          </w:tcPr>
          <w:p w14:paraId="19868BAF"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293CE6" w:rsidRPr="00293CE6" w14:paraId="04A8228F"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vAlign w:val="center"/>
            <w:hideMark/>
          </w:tcPr>
          <w:p w14:paraId="56747FEF" w14:textId="0983B348" w:rsidR="00293CE6" w:rsidRPr="00293CE6" w:rsidRDefault="00317518" w:rsidP="00293CE6">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4E5CCEA3" w14:textId="77777777" w:rsidR="00293CE6" w:rsidRPr="00293CE6" w:rsidRDefault="00293CE6" w:rsidP="00293CE6">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597022BF" w14:textId="77777777" w:rsidR="00293CE6" w:rsidRPr="00293CE6" w:rsidRDefault="00293CE6" w:rsidP="00293CE6">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EIT Community Hub programme-specific social media posts (min. 30)</w:t>
            </w:r>
          </w:p>
        </w:tc>
        <w:tc>
          <w:tcPr>
            <w:tcW w:w="1796" w:type="dxa"/>
            <w:tcBorders>
              <w:top w:val="nil"/>
              <w:left w:val="nil"/>
              <w:bottom w:val="single" w:sz="4" w:space="0" w:color="000000"/>
              <w:right w:val="single" w:sz="4" w:space="0" w:color="000000"/>
            </w:tcBorders>
            <w:shd w:val="clear" w:color="auto" w:fill="FFFF00"/>
            <w:vAlign w:val="center"/>
            <w:hideMark/>
          </w:tcPr>
          <w:p w14:paraId="3DF1E9EE"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293CE6" w:rsidRPr="00293CE6" w14:paraId="56C137B6"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vAlign w:val="center"/>
            <w:hideMark/>
          </w:tcPr>
          <w:p w14:paraId="41428C49" w14:textId="73290195" w:rsidR="00293CE6" w:rsidRPr="00293CE6" w:rsidRDefault="00317518" w:rsidP="00293CE6">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310C992C" w14:textId="77777777" w:rsidR="00293CE6" w:rsidRPr="00293CE6" w:rsidRDefault="00293CE6" w:rsidP="00293CE6">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4B5CFFDB" w14:textId="77777777" w:rsidR="00293CE6" w:rsidRPr="00293CE6" w:rsidRDefault="00293CE6" w:rsidP="00293CE6">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Average number of engagements of the related posts (min. 150)</w:t>
            </w:r>
          </w:p>
        </w:tc>
        <w:tc>
          <w:tcPr>
            <w:tcW w:w="1796" w:type="dxa"/>
            <w:tcBorders>
              <w:top w:val="nil"/>
              <w:left w:val="nil"/>
              <w:bottom w:val="single" w:sz="4" w:space="0" w:color="000000"/>
              <w:right w:val="single" w:sz="4" w:space="0" w:color="000000"/>
            </w:tcBorders>
            <w:shd w:val="clear" w:color="auto" w:fill="FFFF00"/>
            <w:vAlign w:val="center"/>
            <w:hideMark/>
          </w:tcPr>
          <w:p w14:paraId="49D04A5A"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293CE6" w:rsidRPr="00293CE6" w14:paraId="2D7B07DE"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vAlign w:val="center"/>
            <w:hideMark/>
          </w:tcPr>
          <w:p w14:paraId="4D8312DD" w14:textId="3112F0D4" w:rsidR="00293CE6" w:rsidRPr="00293CE6" w:rsidRDefault="00317518" w:rsidP="00293CE6">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387788A5" w14:textId="77777777" w:rsidR="00293CE6" w:rsidRPr="00293CE6" w:rsidRDefault="00293CE6" w:rsidP="00293CE6">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auto"/>
            <w:vAlign w:val="center"/>
            <w:hideMark/>
          </w:tcPr>
          <w:p w14:paraId="5CC1EC0B" w14:textId="77777777" w:rsidR="00293CE6" w:rsidRPr="00293CE6" w:rsidRDefault="00293CE6" w:rsidP="00293CE6">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Personalised outreach and support / Number of applicants supported with 1:1 advisory services (coaching sessions)</w:t>
            </w:r>
          </w:p>
        </w:tc>
        <w:tc>
          <w:tcPr>
            <w:tcW w:w="1796" w:type="dxa"/>
            <w:tcBorders>
              <w:top w:val="nil"/>
              <w:left w:val="nil"/>
              <w:bottom w:val="single" w:sz="4" w:space="0" w:color="000000"/>
              <w:right w:val="single" w:sz="4" w:space="0" w:color="000000"/>
            </w:tcBorders>
            <w:shd w:val="clear" w:color="auto" w:fill="FFFF00"/>
            <w:vAlign w:val="center"/>
            <w:hideMark/>
          </w:tcPr>
          <w:p w14:paraId="1689547D"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2BB0B2F6"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63E99BEC" w14:textId="769A3F58" w:rsidR="00317518" w:rsidRPr="00293CE6" w:rsidRDefault="00317518" w:rsidP="00317518">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140FA97E"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auto"/>
            <w:vAlign w:val="center"/>
            <w:hideMark/>
          </w:tcPr>
          <w:p w14:paraId="37E60ACF"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events organised by the EIT Community Officer</w:t>
            </w:r>
          </w:p>
        </w:tc>
        <w:tc>
          <w:tcPr>
            <w:tcW w:w="1796" w:type="dxa"/>
            <w:tcBorders>
              <w:top w:val="nil"/>
              <w:left w:val="nil"/>
              <w:bottom w:val="single" w:sz="4" w:space="0" w:color="000000"/>
              <w:right w:val="single" w:sz="4" w:space="0" w:color="000000"/>
            </w:tcBorders>
            <w:shd w:val="clear" w:color="auto" w:fill="FFFF00"/>
            <w:vAlign w:val="center"/>
            <w:hideMark/>
          </w:tcPr>
          <w:p w14:paraId="0F397E58"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14929C89"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34CE5BAA" w14:textId="57D98AC8" w:rsidR="00317518" w:rsidRPr="00293CE6" w:rsidRDefault="00317518" w:rsidP="00317518">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6B9F497E"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auto"/>
            <w:vAlign w:val="center"/>
            <w:hideMark/>
          </w:tcPr>
          <w:p w14:paraId="58D36494"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participants at events organised by the EIT Community Officer</w:t>
            </w:r>
          </w:p>
        </w:tc>
        <w:tc>
          <w:tcPr>
            <w:tcW w:w="1796" w:type="dxa"/>
            <w:tcBorders>
              <w:top w:val="nil"/>
              <w:left w:val="nil"/>
              <w:bottom w:val="single" w:sz="4" w:space="0" w:color="000000"/>
              <w:right w:val="single" w:sz="4" w:space="0" w:color="000000"/>
            </w:tcBorders>
            <w:shd w:val="clear" w:color="auto" w:fill="FFFF00"/>
            <w:vAlign w:val="center"/>
            <w:hideMark/>
          </w:tcPr>
          <w:p w14:paraId="40C65AB5"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002DE888"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578BF1E2" w14:textId="60D9CEAD" w:rsidR="00317518" w:rsidRPr="00293CE6" w:rsidRDefault="00317518" w:rsidP="00317518">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2ECB5B32"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auto"/>
            <w:vAlign w:val="center"/>
            <w:hideMark/>
          </w:tcPr>
          <w:p w14:paraId="4A765CD0"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presentations by EIT Community Officer or KIC representative at external events organised by third party</w:t>
            </w:r>
          </w:p>
        </w:tc>
        <w:tc>
          <w:tcPr>
            <w:tcW w:w="1796" w:type="dxa"/>
            <w:tcBorders>
              <w:top w:val="nil"/>
              <w:left w:val="nil"/>
              <w:bottom w:val="single" w:sz="4" w:space="0" w:color="000000"/>
              <w:right w:val="single" w:sz="4" w:space="0" w:color="000000"/>
            </w:tcBorders>
            <w:shd w:val="clear" w:color="auto" w:fill="FFFF00"/>
            <w:vAlign w:val="center"/>
            <w:hideMark/>
          </w:tcPr>
          <w:p w14:paraId="39D374A0"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6BB1F258"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7C3E6B0A" w14:textId="4623E1CE" w:rsidR="00317518" w:rsidRPr="00293CE6" w:rsidRDefault="00317518" w:rsidP="00317518">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019D6356"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auto"/>
            <w:vAlign w:val="center"/>
            <w:hideMark/>
          </w:tcPr>
          <w:p w14:paraId="0DF8901E"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participants at presentations by EIT Community Officer or KIC representative at external events organised by third party</w:t>
            </w:r>
          </w:p>
        </w:tc>
        <w:tc>
          <w:tcPr>
            <w:tcW w:w="1796" w:type="dxa"/>
            <w:tcBorders>
              <w:top w:val="nil"/>
              <w:left w:val="nil"/>
              <w:bottom w:val="single" w:sz="4" w:space="0" w:color="000000"/>
              <w:right w:val="single" w:sz="4" w:space="0" w:color="000000"/>
            </w:tcBorders>
            <w:shd w:val="clear" w:color="auto" w:fill="FFFF00"/>
            <w:vAlign w:val="center"/>
            <w:hideMark/>
          </w:tcPr>
          <w:p w14:paraId="13BD9962"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13FC7948"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24AB02D5" w14:textId="650326A1" w:rsidR="00317518" w:rsidRPr="00293CE6" w:rsidRDefault="00317518" w:rsidP="00317518">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4F9873FA"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auto"/>
            <w:vAlign w:val="center"/>
            <w:hideMark/>
          </w:tcPr>
          <w:p w14:paraId="26A62C6B"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website posts by external organisation</w:t>
            </w:r>
          </w:p>
        </w:tc>
        <w:tc>
          <w:tcPr>
            <w:tcW w:w="1796" w:type="dxa"/>
            <w:tcBorders>
              <w:top w:val="nil"/>
              <w:left w:val="nil"/>
              <w:bottom w:val="single" w:sz="4" w:space="0" w:color="000000"/>
              <w:right w:val="single" w:sz="4" w:space="0" w:color="000000"/>
            </w:tcBorders>
            <w:shd w:val="clear" w:color="auto" w:fill="FFFF00"/>
            <w:vAlign w:val="center"/>
            <w:hideMark/>
          </w:tcPr>
          <w:p w14:paraId="5002BC3E"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6453611E"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57C58211" w14:textId="765274D3" w:rsidR="00317518" w:rsidRPr="00293CE6" w:rsidRDefault="00317518" w:rsidP="00317518">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4F1BA7E2"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auto"/>
            <w:vAlign w:val="center"/>
            <w:hideMark/>
          </w:tcPr>
          <w:p w14:paraId="73045D8B"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newsletter posts (EIT Community Hub or third party)</w:t>
            </w:r>
          </w:p>
        </w:tc>
        <w:tc>
          <w:tcPr>
            <w:tcW w:w="1796" w:type="dxa"/>
            <w:tcBorders>
              <w:top w:val="nil"/>
              <w:left w:val="nil"/>
              <w:bottom w:val="single" w:sz="4" w:space="0" w:color="000000"/>
              <w:right w:val="single" w:sz="4" w:space="0" w:color="000000"/>
            </w:tcBorders>
            <w:shd w:val="clear" w:color="auto" w:fill="FFFF00"/>
            <w:vAlign w:val="center"/>
            <w:hideMark/>
          </w:tcPr>
          <w:p w14:paraId="0985928A"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17FEF76B"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6DC1A372" w14:textId="6A63924F" w:rsidR="00317518" w:rsidRPr="00293CE6" w:rsidRDefault="00317518" w:rsidP="00317518">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38A84DAB"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auto"/>
            <w:vAlign w:val="center"/>
            <w:hideMark/>
          </w:tcPr>
          <w:p w14:paraId="2BB85956"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programme-specific media mentions</w:t>
            </w:r>
          </w:p>
        </w:tc>
        <w:tc>
          <w:tcPr>
            <w:tcW w:w="1796" w:type="dxa"/>
            <w:tcBorders>
              <w:top w:val="nil"/>
              <w:left w:val="nil"/>
              <w:bottom w:val="single" w:sz="4" w:space="0" w:color="000000"/>
              <w:right w:val="single" w:sz="4" w:space="0" w:color="000000"/>
            </w:tcBorders>
            <w:shd w:val="clear" w:color="auto" w:fill="FFFF00"/>
            <w:vAlign w:val="center"/>
            <w:hideMark/>
          </w:tcPr>
          <w:p w14:paraId="5A480544"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759A81E2"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2B66850F" w14:textId="190E10D4" w:rsidR="00317518" w:rsidRPr="00293CE6" w:rsidRDefault="00317518" w:rsidP="00317518">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170B6B57"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auto"/>
            <w:vAlign w:val="center"/>
            <w:hideMark/>
          </w:tcPr>
          <w:p w14:paraId="2C21A8BF"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Programme-specific communication / Number of press releases published </w:t>
            </w:r>
          </w:p>
        </w:tc>
        <w:tc>
          <w:tcPr>
            <w:tcW w:w="1796" w:type="dxa"/>
            <w:tcBorders>
              <w:top w:val="nil"/>
              <w:left w:val="nil"/>
              <w:bottom w:val="single" w:sz="4" w:space="0" w:color="000000"/>
              <w:right w:val="single" w:sz="4" w:space="0" w:color="000000"/>
            </w:tcBorders>
            <w:shd w:val="clear" w:color="auto" w:fill="FFFF00"/>
            <w:vAlign w:val="center"/>
            <w:hideMark/>
          </w:tcPr>
          <w:p w14:paraId="22536D72"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5001EE56"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4375A247" w14:textId="155E9401" w:rsidR="00317518" w:rsidRPr="00293CE6" w:rsidRDefault="00317518" w:rsidP="00317518">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12DF5C48"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auto"/>
            <w:vAlign w:val="center"/>
            <w:hideMark/>
          </w:tcPr>
          <w:p w14:paraId="1DE3EB82"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Programme-specific communication / Number of testimonials, impact stories collected</w:t>
            </w:r>
          </w:p>
        </w:tc>
        <w:tc>
          <w:tcPr>
            <w:tcW w:w="1796" w:type="dxa"/>
            <w:tcBorders>
              <w:top w:val="nil"/>
              <w:left w:val="nil"/>
              <w:bottom w:val="single" w:sz="4" w:space="0" w:color="000000"/>
              <w:right w:val="single" w:sz="4" w:space="0" w:color="000000"/>
            </w:tcBorders>
            <w:shd w:val="clear" w:color="auto" w:fill="FFFF00"/>
            <w:vAlign w:val="center"/>
            <w:hideMark/>
          </w:tcPr>
          <w:p w14:paraId="4BCE9A4A"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3A4338C6"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752130D5" w14:textId="5EDEA3E7" w:rsidR="00317518" w:rsidRPr="00293CE6" w:rsidRDefault="00317518" w:rsidP="00317518">
            <w:pPr>
              <w:spacing w:after="0" w:line="240" w:lineRule="auto"/>
              <w:jc w:val="center"/>
              <w:rPr>
                <w:rFonts w:ascii="Aptos Narrow" w:eastAsia="Times New Roman" w:hAnsi="Aptos Narrow" w:cs="Times New Roman"/>
                <w:color w:val="6BB745"/>
                <w:sz w:val="14"/>
                <w:szCs w:val="14"/>
                <w:lang w:eastAsia="en-GB"/>
              </w:rPr>
            </w:pPr>
            <w:r w:rsidRPr="00442680">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155B422F"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6906C0A4"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43193CED"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293CE6" w:rsidRPr="00293CE6" w14:paraId="10938769"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vAlign w:val="center"/>
            <w:hideMark/>
          </w:tcPr>
          <w:p w14:paraId="3FE5D441" w14:textId="02DD501F" w:rsidR="00293CE6" w:rsidRPr="00293CE6" w:rsidRDefault="00317518" w:rsidP="00293CE6">
            <w:pPr>
              <w:spacing w:after="0" w:line="240" w:lineRule="auto"/>
              <w:jc w:val="center"/>
              <w:rPr>
                <w:rFonts w:ascii="Aptos Narrow" w:eastAsia="Times New Roman" w:hAnsi="Aptos Narrow" w:cs="Times New Roman"/>
                <w:color w:val="6BB745"/>
                <w:sz w:val="14"/>
                <w:szCs w:val="14"/>
                <w:lang w:eastAsia="en-GB"/>
              </w:rPr>
            </w:pPr>
            <w:r w:rsidRPr="00317518">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6F0C90A9" w14:textId="77777777" w:rsidR="00293CE6" w:rsidRPr="00293CE6" w:rsidRDefault="00293CE6" w:rsidP="00293CE6">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5016956F" w14:textId="77777777" w:rsidR="00293CE6" w:rsidRPr="00293CE6" w:rsidRDefault="00293CE6" w:rsidP="00293CE6">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0D6FAEDA"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293CE6" w:rsidRPr="00293CE6" w14:paraId="581C0D46" w14:textId="77777777" w:rsidTr="1FCB43CC">
        <w:trPr>
          <w:trHeight w:val="600"/>
        </w:trPr>
        <w:tc>
          <w:tcPr>
            <w:tcW w:w="14284"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14:paraId="06BE930D" w14:textId="77777777" w:rsidR="00293CE6" w:rsidRPr="00293CE6" w:rsidRDefault="00293CE6" w:rsidP="00293CE6">
            <w:pPr>
              <w:spacing w:after="0" w:line="240" w:lineRule="auto"/>
              <w:jc w:val="center"/>
              <w:rPr>
                <w:rFonts w:ascii="Titillium" w:eastAsia="Times New Roman" w:hAnsi="Titillium" w:cs="Times New Roman"/>
                <w:color w:val="000000"/>
                <w:szCs w:val="20"/>
                <w:lang w:eastAsia="en-GB"/>
              </w:rPr>
            </w:pPr>
            <w:r w:rsidRPr="00293CE6">
              <w:rPr>
                <w:rFonts w:ascii="Titillium" w:eastAsia="Times New Roman" w:hAnsi="Titillium" w:cs="Times New Roman"/>
                <w:color w:val="000000"/>
                <w:szCs w:val="20"/>
                <w:lang w:eastAsia="en-GB"/>
              </w:rPr>
              <w:lastRenderedPageBreak/>
              <w:t xml:space="preserve">WP1 Activity descriptions </w:t>
            </w:r>
            <w:r w:rsidRPr="00293CE6">
              <w:rPr>
                <w:rFonts w:ascii="Titillium" w:eastAsia="Times New Roman" w:hAnsi="Titillium" w:cs="Times New Roman"/>
                <w:color w:val="000000"/>
                <w:szCs w:val="20"/>
                <w:lang w:eastAsia="en-GB"/>
              </w:rPr>
              <w:br/>
            </w:r>
            <w:r w:rsidRPr="00293CE6">
              <w:rPr>
                <w:rFonts w:ascii="Titillium" w:eastAsia="Times New Roman" w:hAnsi="Titillium" w:cs="Times New Roman"/>
                <w:i/>
                <w:iCs/>
                <w:color w:val="000000"/>
                <w:szCs w:val="20"/>
                <w:lang w:eastAsia="en-GB"/>
              </w:rPr>
              <w:t>Please provide strategic approach, methodology and description of the activities</w:t>
            </w:r>
          </w:p>
        </w:tc>
      </w:tr>
      <w:tr w:rsidR="00293CE6" w:rsidRPr="00293CE6" w14:paraId="7FECFACE" w14:textId="77777777" w:rsidTr="1FCB43CC">
        <w:trPr>
          <w:trHeight w:val="4005"/>
        </w:trPr>
        <w:tc>
          <w:tcPr>
            <w:tcW w:w="14284" w:type="dxa"/>
            <w:gridSpan w:val="9"/>
            <w:tcBorders>
              <w:top w:val="nil"/>
              <w:left w:val="single" w:sz="4" w:space="0" w:color="000000"/>
              <w:bottom w:val="nil"/>
              <w:right w:val="single" w:sz="4" w:space="0" w:color="000000"/>
            </w:tcBorders>
            <w:shd w:val="clear" w:color="auto" w:fill="FFFF00"/>
            <w:noWrap/>
            <w:hideMark/>
          </w:tcPr>
          <w:p w14:paraId="47360F12" w14:textId="77777777" w:rsidR="00293CE6" w:rsidRPr="00293CE6" w:rsidRDefault="00293CE6" w:rsidP="00293CE6">
            <w:pPr>
              <w:spacing w:after="0" w:line="240" w:lineRule="auto"/>
              <w:rPr>
                <w:rFonts w:ascii="Aptos Narrow" w:eastAsia="Times New Roman" w:hAnsi="Aptos Narrow" w:cs="Times New Roman"/>
                <w:i/>
                <w:iCs/>
                <w:color w:val="000000"/>
                <w:sz w:val="22"/>
                <w:lang w:eastAsia="en-GB"/>
              </w:rPr>
            </w:pPr>
            <w:r w:rsidRPr="00293CE6">
              <w:rPr>
                <w:rFonts w:ascii="Aptos Narrow" w:eastAsia="Times New Roman" w:hAnsi="Aptos Narrow" w:cs="Times New Roman"/>
                <w:i/>
                <w:iCs/>
                <w:color w:val="000000"/>
                <w:sz w:val="22"/>
                <w:lang w:eastAsia="en-GB"/>
              </w:rPr>
              <w:t>[Max 1,000 words]</w:t>
            </w:r>
          </w:p>
        </w:tc>
      </w:tr>
      <w:tr w:rsidR="00293CE6" w:rsidRPr="00293CE6" w14:paraId="670B71C7" w14:textId="77777777" w:rsidTr="1FCB43CC">
        <w:trPr>
          <w:trHeight w:val="345"/>
        </w:trPr>
        <w:tc>
          <w:tcPr>
            <w:tcW w:w="14284" w:type="dxa"/>
            <w:gridSpan w:val="9"/>
            <w:tcBorders>
              <w:top w:val="single" w:sz="8" w:space="0" w:color="000000"/>
              <w:left w:val="single" w:sz="8" w:space="0" w:color="000000"/>
              <w:bottom w:val="single" w:sz="4" w:space="0" w:color="000000"/>
              <w:right w:val="single" w:sz="8" w:space="0" w:color="000000"/>
            </w:tcBorders>
            <w:shd w:val="clear" w:color="auto" w:fill="034EA2" w:themeFill="text2"/>
            <w:vAlign w:val="center"/>
            <w:hideMark/>
          </w:tcPr>
          <w:p w14:paraId="415EA5CD" w14:textId="77777777" w:rsidR="00293CE6" w:rsidRPr="00293CE6" w:rsidRDefault="00293CE6" w:rsidP="00293CE6">
            <w:pPr>
              <w:spacing w:after="0" w:line="240" w:lineRule="auto"/>
              <w:jc w:val="center"/>
              <w:rPr>
                <w:rFonts w:ascii="Titillium" w:eastAsia="Times New Roman" w:hAnsi="Titillium" w:cs="Times New Roman"/>
                <w:b/>
                <w:bCs/>
                <w:color w:val="FFFFFF"/>
                <w:szCs w:val="20"/>
                <w:lang w:eastAsia="en-GB"/>
              </w:rPr>
            </w:pPr>
            <w:r w:rsidRPr="00293CE6">
              <w:rPr>
                <w:rFonts w:ascii="Titillium" w:eastAsia="Times New Roman" w:hAnsi="Titillium" w:cs="Times New Roman"/>
                <w:b/>
                <w:bCs/>
                <w:color w:val="FFFFFF"/>
                <w:szCs w:val="20"/>
                <w:lang w:eastAsia="en-GB"/>
              </w:rPr>
              <w:t>Work Package 2 Business Development for Financial Sustainability</w:t>
            </w:r>
          </w:p>
        </w:tc>
      </w:tr>
      <w:tr w:rsidR="00293CE6" w:rsidRPr="00293CE6" w14:paraId="123B7BC9" w14:textId="77777777" w:rsidTr="1FCB43CC">
        <w:trPr>
          <w:trHeight w:val="1005"/>
        </w:trPr>
        <w:tc>
          <w:tcPr>
            <w:tcW w:w="3368" w:type="dxa"/>
            <w:gridSpan w:val="3"/>
            <w:vMerge w:val="restart"/>
            <w:tcBorders>
              <w:top w:val="single" w:sz="4" w:space="0" w:color="000000"/>
              <w:left w:val="single" w:sz="8" w:space="0" w:color="000000"/>
              <w:bottom w:val="single" w:sz="4" w:space="0" w:color="000000"/>
              <w:right w:val="single" w:sz="4" w:space="0" w:color="000000"/>
            </w:tcBorders>
            <w:shd w:val="clear" w:color="auto" w:fill="034EA2" w:themeFill="text2"/>
            <w:vAlign w:val="center"/>
            <w:hideMark/>
          </w:tcPr>
          <w:p w14:paraId="3D18C3FF" w14:textId="77777777" w:rsidR="00293CE6" w:rsidRPr="00293CE6" w:rsidRDefault="00293CE6" w:rsidP="00293CE6">
            <w:pPr>
              <w:spacing w:after="0" w:line="240" w:lineRule="auto"/>
              <w:jc w:val="center"/>
              <w:rPr>
                <w:rFonts w:ascii="Titillium" w:eastAsia="Times New Roman" w:hAnsi="Titillium" w:cs="Times New Roman"/>
                <w:color w:val="FFFFFF"/>
                <w:sz w:val="16"/>
                <w:szCs w:val="16"/>
                <w:lang w:eastAsia="en-GB"/>
              </w:rPr>
            </w:pPr>
            <w:r w:rsidRPr="00293CE6">
              <w:rPr>
                <w:rFonts w:ascii="Titillium" w:eastAsia="Times New Roman" w:hAnsi="Titillium" w:cs="Times New Roman"/>
                <w:color w:val="FFFFFF"/>
                <w:sz w:val="16"/>
                <w:szCs w:val="16"/>
                <w:lang w:eastAsia="en-GB"/>
              </w:rPr>
              <w:t xml:space="preserve"> EITECO03 - Leads for revenue, funding facilitated by the ECO to contribute to the financial sustainability of the RI&amp;I Cluster </w:t>
            </w:r>
          </w:p>
        </w:tc>
        <w:tc>
          <w:tcPr>
            <w:tcW w:w="1936" w:type="dxa"/>
            <w:tcBorders>
              <w:top w:val="nil"/>
              <w:left w:val="nil"/>
              <w:bottom w:val="single" w:sz="4" w:space="0" w:color="000000"/>
              <w:right w:val="single" w:sz="4" w:space="0" w:color="000000"/>
            </w:tcBorders>
            <w:shd w:val="clear" w:color="auto" w:fill="auto"/>
            <w:noWrap/>
            <w:vAlign w:val="center"/>
            <w:hideMark/>
          </w:tcPr>
          <w:p w14:paraId="7A23EC45" w14:textId="77777777" w:rsidR="00293CE6" w:rsidRPr="00293CE6" w:rsidRDefault="00293CE6" w:rsidP="00293CE6">
            <w:pPr>
              <w:spacing w:after="0" w:line="240" w:lineRule="auto"/>
              <w:jc w:val="center"/>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KPI</w:t>
            </w:r>
          </w:p>
        </w:tc>
        <w:tc>
          <w:tcPr>
            <w:tcW w:w="1796" w:type="dxa"/>
            <w:tcBorders>
              <w:top w:val="nil"/>
              <w:left w:val="nil"/>
              <w:bottom w:val="single" w:sz="4" w:space="0" w:color="000000"/>
              <w:right w:val="single" w:sz="4" w:space="0" w:color="000000"/>
            </w:tcBorders>
            <w:shd w:val="clear" w:color="auto" w:fill="auto"/>
            <w:vAlign w:val="center"/>
            <w:hideMark/>
          </w:tcPr>
          <w:p w14:paraId="4F2BFCB7" w14:textId="77777777" w:rsidR="00293CE6" w:rsidRPr="00293CE6" w:rsidRDefault="00293CE6" w:rsidP="00293CE6">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1 </w:t>
            </w:r>
            <w:r w:rsidRPr="00293CE6">
              <w:rPr>
                <w:rFonts w:ascii="Titillium" w:eastAsia="Times New Roman" w:hAnsi="Titillium" w:cs="Times New Roman"/>
                <w:b/>
                <w:bCs/>
                <w:i/>
                <w:iCs/>
                <w:color w:val="000000"/>
                <w:sz w:val="16"/>
                <w:szCs w:val="16"/>
                <w:lang w:eastAsia="en-GB"/>
              </w:rPr>
              <w:br/>
              <w:t xml:space="preserve">EIT </w:t>
            </w:r>
            <w:proofErr w:type="spellStart"/>
            <w:r w:rsidRPr="00293CE6">
              <w:rPr>
                <w:rFonts w:ascii="Titillium" w:eastAsia="Times New Roman" w:hAnsi="Titillium" w:cs="Times New Roman"/>
                <w:b/>
                <w:bCs/>
                <w:i/>
                <w:iCs/>
                <w:color w:val="000000"/>
                <w:sz w:val="16"/>
                <w:szCs w:val="16"/>
                <w:lang w:eastAsia="en-GB"/>
              </w:rPr>
              <w:t>Jumpstarter</w:t>
            </w:r>
            <w:proofErr w:type="spellEnd"/>
            <w:r w:rsidRPr="00293CE6">
              <w:rPr>
                <w:rFonts w:ascii="Titillium" w:eastAsia="Times New Roman" w:hAnsi="Titillium" w:cs="Times New Roman"/>
                <w:i/>
                <w:iCs/>
                <w:color w:val="000000"/>
                <w:sz w:val="16"/>
                <w:szCs w:val="16"/>
                <w:lang w:eastAsia="en-GB"/>
              </w:rPr>
              <w:t xml:space="preserve"> </w:t>
            </w:r>
            <w:r w:rsidRPr="00293CE6">
              <w:rPr>
                <w:rFonts w:ascii="Titillium" w:eastAsia="Times New Roman" w:hAnsi="Titillium" w:cs="Times New Roman"/>
                <w:i/>
                <w:iCs/>
                <w:color w:val="000000"/>
                <w:sz w:val="16"/>
                <w:szCs w:val="16"/>
                <w:lang w:eastAsia="en-GB"/>
              </w:rPr>
              <w:br/>
            </w:r>
            <w:r w:rsidRPr="00293CE6">
              <w:rPr>
                <w:rFonts w:ascii="Titillium" w:eastAsia="Times New Roman" w:hAnsi="Titillium" w:cs="Times New Roman"/>
                <w:b/>
                <w:bCs/>
                <w:i/>
                <w:iCs/>
                <w:color w:val="000000"/>
                <w:sz w:val="16"/>
                <w:szCs w:val="16"/>
                <w:lang w:eastAsia="en-GB"/>
              </w:rPr>
              <w:t>teams, participants</w:t>
            </w:r>
          </w:p>
        </w:tc>
        <w:tc>
          <w:tcPr>
            <w:tcW w:w="1796" w:type="dxa"/>
            <w:tcBorders>
              <w:top w:val="nil"/>
              <w:left w:val="nil"/>
              <w:bottom w:val="single" w:sz="4" w:space="0" w:color="000000"/>
              <w:right w:val="single" w:sz="4" w:space="0" w:color="000000"/>
            </w:tcBorders>
            <w:shd w:val="clear" w:color="auto" w:fill="auto"/>
            <w:vAlign w:val="center"/>
            <w:hideMark/>
          </w:tcPr>
          <w:p w14:paraId="658AD6D0" w14:textId="77777777" w:rsidR="00293CE6" w:rsidRPr="00293CE6" w:rsidRDefault="00293CE6" w:rsidP="00293CE6">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2</w:t>
            </w:r>
            <w:r w:rsidRPr="00293CE6">
              <w:rPr>
                <w:rFonts w:ascii="Titillium" w:eastAsia="Times New Roman" w:hAnsi="Titillium" w:cs="Times New Roman"/>
                <w:b/>
                <w:bCs/>
                <w:i/>
                <w:iCs/>
                <w:color w:val="000000"/>
                <w:sz w:val="16"/>
                <w:szCs w:val="16"/>
                <w:lang w:eastAsia="en-GB"/>
              </w:rPr>
              <w:br/>
              <w:t xml:space="preserve">EIT Global Outreach </w:t>
            </w:r>
            <w:r w:rsidRPr="00293CE6">
              <w:rPr>
                <w:rFonts w:ascii="Titillium" w:eastAsia="Times New Roman" w:hAnsi="Titillium" w:cs="Times New Roman"/>
                <w:b/>
                <w:bCs/>
                <w:i/>
                <w:iCs/>
                <w:color w:val="000000"/>
                <w:sz w:val="16"/>
                <w:szCs w:val="16"/>
                <w:lang w:eastAsia="en-GB"/>
              </w:rPr>
              <w:br/>
              <w:t>startups/scaleups</w:t>
            </w:r>
          </w:p>
        </w:tc>
        <w:tc>
          <w:tcPr>
            <w:tcW w:w="1796" w:type="dxa"/>
            <w:tcBorders>
              <w:top w:val="nil"/>
              <w:left w:val="nil"/>
              <w:bottom w:val="single" w:sz="4" w:space="0" w:color="000000"/>
              <w:right w:val="single" w:sz="4" w:space="0" w:color="000000"/>
            </w:tcBorders>
            <w:shd w:val="clear" w:color="auto" w:fill="auto"/>
            <w:vAlign w:val="center"/>
            <w:hideMark/>
          </w:tcPr>
          <w:p w14:paraId="1A5FDDB4" w14:textId="77777777" w:rsidR="00293CE6" w:rsidRPr="00293CE6" w:rsidRDefault="00293CE6" w:rsidP="00293CE6">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3</w:t>
            </w:r>
            <w:r w:rsidRPr="00293CE6">
              <w:rPr>
                <w:rFonts w:ascii="Titillium" w:eastAsia="Times New Roman" w:hAnsi="Titillium" w:cs="Times New Roman"/>
                <w:b/>
                <w:bCs/>
                <w:i/>
                <w:iCs/>
                <w:color w:val="000000"/>
                <w:sz w:val="16"/>
                <w:szCs w:val="16"/>
                <w:lang w:eastAsia="en-GB"/>
              </w:rPr>
              <w:br/>
              <w:t xml:space="preserve">EIT Global Outreach </w:t>
            </w:r>
            <w:r w:rsidRPr="00293CE6">
              <w:rPr>
                <w:rFonts w:ascii="Titillium" w:eastAsia="Times New Roman" w:hAnsi="Titillium" w:cs="Times New Roman"/>
                <w:b/>
                <w:bCs/>
                <w:i/>
                <w:iCs/>
                <w:color w:val="000000"/>
                <w:sz w:val="16"/>
                <w:szCs w:val="16"/>
                <w:lang w:eastAsia="en-GB"/>
              </w:rPr>
              <w:br/>
              <w:t>services/modules</w:t>
            </w:r>
          </w:p>
        </w:tc>
        <w:tc>
          <w:tcPr>
            <w:tcW w:w="1796" w:type="dxa"/>
            <w:tcBorders>
              <w:top w:val="nil"/>
              <w:left w:val="nil"/>
              <w:bottom w:val="single" w:sz="4" w:space="0" w:color="000000"/>
              <w:right w:val="single" w:sz="4" w:space="0" w:color="000000"/>
            </w:tcBorders>
            <w:shd w:val="clear" w:color="auto" w:fill="E8E8E8"/>
            <w:vAlign w:val="bottom"/>
            <w:hideMark/>
          </w:tcPr>
          <w:p w14:paraId="6AC90AB2" w14:textId="77777777" w:rsidR="00293CE6" w:rsidRPr="00293CE6" w:rsidRDefault="00293CE6" w:rsidP="00293CE6">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8" w:space="0" w:color="000000"/>
            </w:tcBorders>
            <w:shd w:val="clear" w:color="auto" w:fill="auto"/>
            <w:vAlign w:val="center"/>
            <w:hideMark/>
          </w:tcPr>
          <w:p w14:paraId="3DAC335E" w14:textId="77777777" w:rsidR="00293CE6" w:rsidRPr="00293CE6" w:rsidRDefault="00293CE6" w:rsidP="00293CE6">
            <w:pPr>
              <w:spacing w:after="0" w:line="240" w:lineRule="auto"/>
              <w:jc w:val="center"/>
              <w:rPr>
                <w:rFonts w:ascii="Titillium" w:eastAsia="Times New Roman" w:hAnsi="Titillium" w:cs="Times New Roman"/>
                <w:b/>
                <w:bCs/>
                <w:i/>
                <w:iCs/>
                <w:color w:val="333333"/>
                <w:sz w:val="16"/>
                <w:szCs w:val="16"/>
                <w:lang w:eastAsia="en-GB"/>
              </w:rPr>
            </w:pPr>
            <w:r w:rsidRPr="00293CE6">
              <w:rPr>
                <w:rFonts w:ascii="Titillium" w:eastAsia="Times New Roman" w:hAnsi="Titillium" w:cs="Times New Roman"/>
                <w:b/>
                <w:bCs/>
                <w:i/>
                <w:iCs/>
                <w:color w:val="333333"/>
                <w:sz w:val="16"/>
                <w:szCs w:val="16"/>
                <w:lang w:eastAsia="en-GB"/>
              </w:rPr>
              <w:t>KPI Total</w:t>
            </w:r>
            <w:r w:rsidRPr="00293CE6">
              <w:rPr>
                <w:rFonts w:ascii="Titillium" w:eastAsia="Times New Roman" w:hAnsi="Titillium" w:cs="Times New Roman"/>
                <w:b/>
                <w:bCs/>
                <w:i/>
                <w:iCs/>
                <w:color w:val="333333"/>
                <w:sz w:val="16"/>
                <w:szCs w:val="16"/>
                <w:lang w:eastAsia="en-GB"/>
              </w:rPr>
              <w:br/>
            </w:r>
            <w:r w:rsidRPr="00293CE6">
              <w:rPr>
                <w:rFonts w:ascii="Titillium" w:eastAsia="Times New Roman" w:hAnsi="Titillium" w:cs="Times New Roman"/>
                <w:i/>
                <w:iCs/>
                <w:color w:val="333333"/>
                <w:sz w:val="16"/>
                <w:szCs w:val="16"/>
                <w:lang w:eastAsia="en-GB"/>
              </w:rPr>
              <w:t>Minimum:</w:t>
            </w:r>
            <w:r w:rsidRPr="00293CE6">
              <w:rPr>
                <w:rFonts w:ascii="Titillium" w:eastAsia="Times New Roman" w:hAnsi="Titillium" w:cs="Times New Roman"/>
                <w:i/>
                <w:iCs/>
                <w:color w:val="333333"/>
                <w:sz w:val="16"/>
                <w:szCs w:val="16"/>
                <w:lang w:eastAsia="en-GB"/>
              </w:rPr>
              <w:br/>
              <w:t>5 leads</w:t>
            </w:r>
          </w:p>
        </w:tc>
      </w:tr>
      <w:tr w:rsidR="00293CE6" w:rsidRPr="00293CE6" w14:paraId="2A04849A" w14:textId="77777777" w:rsidTr="1FCB43CC">
        <w:trPr>
          <w:trHeight w:val="495"/>
        </w:trPr>
        <w:tc>
          <w:tcPr>
            <w:tcW w:w="3368" w:type="dxa"/>
            <w:gridSpan w:val="3"/>
            <w:vMerge/>
            <w:vAlign w:val="center"/>
            <w:hideMark/>
          </w:tcPr>
          <w:p w14:paraId="0F08914F" w14:textId="77777777" w:rsidR="00293CE6" w:rsidRPr="00293CE6" w:rsidRDefault="00293CE6" w:rsidP="00293CE6">
            <w:pPr>
              <w:spacing w:after="0" w:line="240" w:lineRule="auto"/>
              <w:rPr>
                <w:rFonts w:ascii="Titillium" w:eastAsia="Times New Roman" w:hAnsi="Titillium" w:cs="Times New Roman"/>
                <w:color w:val="FFFFFF"/>
                <w:sz w:val="16"/>
                <w:szCs w:val="16"/>
                <w:lang w:eastAsia="en-GB"/>
              </w:rPr>
            </w:pPr>
          </w:p>
        </w:tc>
        <w:tc>
          <w:tcPr>
            <w:tcW w:w="1936" w:type="dxa"/>
            <w:tcBorders>
              <w:top w:val="nil"/>
              <w:left w:val="nil"/>
              <w:bottom w:val="single" w:sz="4" w:space="0" w:color="000000"/>
              <w:right w:val="single" w:sz="4" w:space="0" w:color="000000"/>
            </w:tcBorders>
            <w:shd w:val="clear" w:color="auto" w:fill="auto"/>
            <w:vAlign w:val="center"/>
            <w:hideMark/>
          </w:tcPr>
          <w:p w14:paraId="56BB3B85" w14:textId="77777777" w:rsidR="00293CE6" w:rsidRPr="00293CE6" w:rsidRDefault="00293CE6" w:rsidP="00293CE6">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Number of leads</w:t>
            </w:r>
          </w:p>
        </w:tc>
        <w:tc>
          <w:tcPr>
            <w:tcW w:w="1796" w:type="dxa"/>
            <w:tcBorders>
              <w:top w:val="nil"/>
              <w:left w:val="nil"/>
              <w:bottom w:val="single" w:sz="4" w:space="0" w:color="000000"/>
              <w:right w:val="single" w:sz="4" w:space="0" w:color="000000"/>
            </w:tcBorders>
            <w:shd w:val="clear" w:color="auto" w:fill="FFFF00"/>
            <w:vAlign w:val="center"/>
            <w:hideMark/>
          </w:tcPr>
          <w:p w14:paraId="67E74384"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FFFF00"/>
            <w:vAlign w:val="center"/>
            <w:hideMark/>
          </w:tcPr>
          <w:p w14:paraId="2E1615DE"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FFFF00"/>
            <w:vAlign w:val="center"/>
            <w:hideMark/>
          </w:tcPr>
          <w:p w14:paraId="2051A33E"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4" w:space="0" w:color="000000"/>
              <w:right w:val="single" w:sz="4" w:space="0" w:color="000000"/>
            </w:tcBorders>
            <w:shd w:val="clear" w:color="auto" w:fill="E8E8E8"/>
            <w:vAlign w:val="bottom"/>
            <w:hideMark/>
          </w:tcPr>
          <w:p w14:paraId="76F040D6" w14:textId="77777777" w:rsidR="00293CE6" w:rsidRPr="00293CE6" w:rsidRDefault="00293CE6" w:rsidP="00293CE6">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8" w:space="0" w:color="000000"/>
            </w:tcBorders>
            <w:shd w:val="clear" w:color="auto" w:fill="auto"/>
            <w:vAlign w:val="center"/>
            <w:hideMark/>
          </w:tcPr>
          <w:p w14:paraId="79F43E3C" w14:textId="77777777" w:rsidR="00293CE6" w:rsidRPr="00293CE6" w:rsidRDefault="00293CE6" w:rsidP="00293CE6">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293CE6" w:rsidRPr="00293CE6" w14:paraId="0A7F0DA0" w14:textId="77777777" w:rsidTr="1FCB43CC">
        <w:trPr>
          <w:trHeight w:val="1005"/>
        </w:trPr>
        <w:tc>
          <w:tcPr>
            <w:tcW w:w="3368" w:type="dxa"/>
            <w:gridSpan w:val="3"/>
            <w:vMerge w:val="restart"/>
            <w:tcBorders>
              <w:top w:val="single" w:sz="4" w:space="0" w:color="000000"/>
              <w:left w:val="single" w:sz="8" w:space="0" w:color="000000"/>
              <w:bottom w:val="single" w:sz="8" w:space="0" w:color="000000"/>
              <w:right w:val="single" w:sz="4" w:space="0" w:color="000000"/>
            </w:tcBorders>
            <w:shd w:val="clear" w:color="auto" w:fill="034EA2" w:themeFill="text2"/>
            <w:vAlign w:val="center"/>
            <w:hideMark/>
          </w:tcPr>
          <w:p w14:paraId="0A5FC4B7" w14:textId="77777777" w:rsidR="00293CE6" w:rsidRPr="00293CE6" w:rsidRDefault="00293CE6" w:rsidP="00293CE6">
            <w:pPr>
              <w:spacing w:after="0" w:line="240" w:lineRule="auto"/>
              <w:jc w:val="center"/>
              <w:rPr>
                <w:rFonts w:ascii="Titillium" w:eastAsia="Times New Roman" w:hAnsi="Titillium" w:cs="Times New Roman"/>
                <w:color w:val="FFFFFF"/>
                <w:sz w:val="16"/>
                <w:szCs w:val="16"/>
                <w:lang w:eastAsia="en-GB"/>
              </w:rPr>
            </w:pPr>
            <w:r w:rsidRPr="00293CE6">
              <w:rPr>
                <w:rFonts w:ascii="Titillium" w:eastAsia="Times New Roman" w:hAnsi="Titillium" w:cs="Times New Roman"/>
                <w:color w:val="FFFFFF"/>
                <w:sz w:val="16"/>
                <w:szCs w:val="16"/>
                <w:lang w:eastAsia="en-GB"/>
              </w:rPr>
              <w:t> EITECO04 - Leads for revenue, funding facilitated by the ECO to contribute to the financial sustainability of the KICs</w:t>
            </w:r>
          </w:p>
        </w:tc>
        <w:tc>
          <w:tcPr>
            <w:tcW w:w="1936" w:type="dxa"/>
            <w:tcBorders>
              <w:top w:val="nil"/>
              <w:left w:val="nil"/>
              <w:bottom w:val="single" w:sz="4" w:space="0" w:color="000000"/>
              <w:right w:val="single" w:sz="4" w:space="0" w:color="000000"/>
            </w:tcBorders>
            <w:shd w:val="clear" w:color="auto" w:fill="auto"/>
            <w:noWrap/>
            <w:vAlign w:val="center"/>
            <w:hideMark/>
          </w:tcPr>
          <w:p w14:paraId="170A5FDF" w14:textId="77777777" w:rsidR="00293CE6" w:rsidRPr="00293CE6" w:rsidRDefault="00293CE6" w:rsidP="00293CE6">
            <w:pPr>
              <w:spacing w:after="0" w:line="240" w:lineRule="auto"/>
              <w:jc w:val="center"/>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KPI</w:t>
            </w:r>
          </w:p>
        </w:tc>
        <w:tc>
          <w:tcPr>
            <w:tcW w:w="1796" w:type="dxa"/>
            <w:tcBorders>
              <w:top w:val="nil"/>
              <w:left w:val="nil"/>
              <w:bottom w:val="single" w:sz="4" w:space="0" w:color="000000"/>
              <w:right w:val="single" w:sz="4" w:space="0" w:color="000000"/>
            </w:tcBorders>
            <w:shd w:val="clear" w:color="auto" w:fill="auto"/>
            <w:vAlign w:val="center"/>
            <w:hideMark/>
          </w:tcPr>
          <w:p w14:paraId="040CBB1E" w14:textId="77777777" w:rsidR="00293CE6" w:rsidRPr="00293CE6" w:rsidRDefault="00293CE6" w:rsidP="00293CE6">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1 </w:t>
            </w:r>
            <w:r w:rsidRPr="00293CE6">
              <w:rPr>
                <w:rFonts w:ascii="Titillium" w:eastAsia="Times New Roman" w:hAnsi="Titillium" w:cs="Times New Roman"/>
                <w:b/>
                <w:bCs/>
                <w:i/>
                <w:iCs/>
                <w:color w:val="000000"/>
                <w:sz w:val="16"/>
                <w:szCs w:val="16"/>
                <w:lang w:eastAsia="en-GB"/>
              </w:rPr>
              <w:br/>
              <w:t>KIC new partner with membership fee</w:t>
            </w:r>
          </w:p>
        </w:tc>
        <w:tc>
          <w:tcPr>
            <w:tcW w:w="1796" w:type="dxa"/>
            <w:tcBorders>
              <w:top w:val="nil"/>
              <w:left w:val="nil"/>
              <w:bottom w:val="single" w:sz="4" w:space="0" w:color="000000"/>
              <w:right w:val="single" w:sz="4" w:space="0" w:color="000000"/>
            </w:tcBorders>
            <w:shd w:val="clear" w:color="auto" w:fill="auto"/>
            <w:vAlign w:val="center"/>
            <w:hideMark/>
          </w:tcPr>
          <w:p w14:paraId="77731DD9" w14:textId="77777777" w:rsidR="00293CE6" w:rsidRPr="00293CE6" w:rsidRDefault="00293CE6" w:rsidP="00293CE6">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 xml:space="preserve">Strand 2 </w:t>
            </w:r>
            <w:r w:rsidRPr="00293CE6">
              <w:rPr>
                <w:rFonts w:ascii="Titillium" w:eastAsia="Times New Roman" w:hAnsi="Titillium" w:cs="Times New Roman"/>
                <w:b/>
                <w:bCs/>
                <w:i/>
                <w:iCs/>
                <w:color w:val="000000"/>
                <w:sz w:val="16"/>
                <w:szCs w:val="16"/>
                <w:lang w:eastAsia="en-GB"/>
              </w:rPr>
              <w:br/>
              <w:t>Local funding to KICs</w:t>
            </w:r>
          </w:p>
        </w:tc>
        <w:tc>
          <w:tcPr>
            <w:tcW w:w="1796" w:type="dxa"/>
            <w:tcBorders>
              <w:top w:val="nil"/>
              <w:left w:val="nil"/>
              <w:bottom w:val="single" w:sz="4" w:space="0" w:color="000000"/>
              <w:right w:val="single" w:sz="4" w:space="0" w:color="000000"/>
            </w:tcBorders>
            <w:shd w:val="clear" w:color="auto" w:fill="auto"/>
            <w:vAlign w:val="center"/>
            <w:hideMark/>
          </w:tcPr>
          <w:p w14:paraId="164D17A1" w14:textId="77777777" w:rsidR="00293CE6" w:rsidRPr="00293CE6" w:rsidRDefault="00293CE6" w:rsidP="00293CE6">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Strand 3</w:t>
            </w:r>
            <w:r w:rsidRPr="00293CE6">
              <w:rPr>
                <w:rFonts w:ascii="Titillium" w:eastAsia="Times New Roman" w:hAnsi="Titillium" w:cs="Times New Roman"/>
                <w:b/>
                <w:bCs/>
                <w:i/>
                <w:iCs/>
                <w:color w:val="000000"/>
                <w:sz w:val="16"/>
                <w:szCs w:val="16"/>
                <w:lang w:eastAsia="en-GB"/>
              </w:rPr>
              <w:br/>
              <w:t>KIC services sold</w:t>
            </w:r>
          </w:p>
        </w:tc>
        <w:tc>
          <w:tcPr>
            <w:tcW w:w="1796" w:type="dxa"/>
            <w:tcBorders>
              <w:top w:val="nil"/>
              <w:left w:val="nil"/>
              <w:bottom w:val="single" w:sz="4" w:space="0" w:color="000000"/>
              <w:right w:val="single" w:sz="4" w:space="0" w:color="000000"/>
            </w:tcBorders>
            <w:shd w:val="clear" w:color="auto" w:fill="E8E8E8"/>
            <w:vAlign w:val="bottom"/>
            <w:hideMark/>
          </w:tcPr>
          <w:p w14:paraId="26903077" w14:textId="77777777" w:rsidR="00293CE6" w:rsidRPr="00293CE6" w:rsidRDefault="00293CE6" w:rsidP="00293CE6">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8" w:space="0" w:color="000000"/>
            </w:tcBorders>
            <w:shd w:val="clear" w:color="auto" w:fill="auto"/>
            <w:vAlign w:val="center"/>
            <w:hideMark/>
          </w:tcPr>
          <w:p w14:paraId="04A008D2" w14:textId="77777777" w:rsidR="00293CE6" w:rsidRPr="00293CE6" w:rsidRDefault="00293CE6" w:rsidP="00293CE6">
            <w:pPr>
              <w:spacing w:after="0" w:line="240" w:lineRule="auto"/>
              <w:jc w:val="center"/>
              <w:rPr>
                <w:rFonts w:ascii="Titillium" w:eastAsia="Times New Roman" w:hAnsi="Titillium" w:cs="Times New Roman"/>
                <w:b/>
                <w:bCs/>
                <w:i/>
                <w:iCs/>
                <w:color w:val="333333"/>
                <w:sz w:val="16"/>
                <w:szCs w:val="16"/>
                <w:lang w:eastAsia="en-GB"/>
              </w:rPr>
            </w:pPr>
            <w:r w:rsidRPr="00293CE6">
              <w:rPr>
                <w:rFonts w:ascii="Titillium" w:eastAsia="Times New Roman" w:hAnsi="Titillium" w:cs="Times New Roman"/>
                <w:b/>
                <w:bCs/>
                <w:i/>
                <w:iCs/>
                <w:color w:val="333333"/>
                <w:sz w:val="16"/>
                <w:szCs w:val="16"/>
                <w:lang w:eastAsia="en-GB"/>
              </w:rPr>
              <w:t>KPI Total</w:t>
            </w:r>
            <w:r w:rsidRPr="00293CE6">
              <w:rPr>
                <w:rFonts w:ascii="Titillium" w:eastAsia="Times New Roman" w:hAnsi="Titillium" w:cs="Times New Roman"/>
                <w:b/>
                <w:bCs/>
                <w:i/>
                <w:iCs/>
                <w:color w:val="333333"/>
                <w:sz w:val="16"/>
                <w:szCs w:val="16"/>
                <w:lang w:eastAsia="en-GB"/>
              </w:rPr>
              <w:br/>
            </w:r>
            <w:r w:rsidRPr="00293CE6">
              <w:rPr>
                <w:rFonts w:ascii="Titillium" w:eastAsia="Times New Roman" w:hAnsi="Titillium" w:cs="Times New Roman"/>
                <w:i/>
                <w:iCs/>
                <w:color w:val="333333"/>
                <w:sz w:val="16"/>
                <w:szCs w:val="16"/>
                <w:lang w:eastAsia="en-GB"/>
              </w:rPr>
              <w:t>Minimum:</w:t>
            </w:r>
            <w:r w:rsidRPr="00293CE6">
              <w:rPr>
                <w:rFonts w:ascii="Titillium" w:eastAsia="Times New Roman" w:hAnsi="Titillium" w:cs="Times New Roman"/>
                <w:i/>
                <w:iCs/>
                <w:color w:val="333333"/>
                <w:sz w:val="16"/>
                <w:szCs w:val="16"/>
                <w:lang w:eastAsia="en-GB"/>
              </w:rPr>
              <w:br/>
              <w:t>5 leads</w:t>
            </w:r>
          </w:p>
        </w:tc>
      </w:tr>
      <w:tr w:rsidR="00293CE6" w:rsidRPr="00293CE6" w14:paraId="0E05F76C" w14:textId="77777777" w:rsidTr="1FCB43CC">
        <w:trPr>
          <w:trHeight w:val="495"/>
        </w:trPr>
        <w:tc>
          <w:tcPr>
            <w:tcW w:w="3368" w:type="dxa"/>
            <w:gridSpan w:val="3"/>
            <w:vMerge/>
            <w:vAlign w:val="center"/>
            <w:hideMark/>
          </w:tcPr>
          <w:p w14:paraId="473A627B" w14:textId="77777777" w:rsidR="00293CE6" w:rsidRPr="00293CE6" w:rsidRDefault="00293CE6" w:rsidP="00293CE6">
            <w:pPr>
              <w:spacing w:after="0" w:line="240" w:lineRule="auto"/>
              <w:rPr>
                <w:rFonts w:ascii="Titillium" w:eastAsia="Times New Roman" w:hAnsi="Titillium" w:cs="Times New Roman"/>
                <w:color w:val="FFFFFF"/>
                <w:sz w:val="16"/>
                <w:szCs w:val="16"/>
                <w:lang w:eastAsia="en-GB"/>
              </w:rPr>
            </w:pPr>
          </w:p>
        </w:tc>
        <w:tc>
          <w:tcPr>
            <w:tcW w:w="1936" w:type="dxa"/>
            <w:tcBorders>
              <w:top w:val="nil"/>
              <w:left w:val="nil"/>
              <w:bottom w:val="single" w:sz="8" w:space="0" w:color="000000"/>
              <w:right w:val="single" w:sz="4" w:space="0" w:color="000000"/>
            </w:tcBorders>
            <w:shd w:val="clear" w:color="auto" w:fill="auto"/>
            <w:vAlign w:val="center"/>
            <w:hideMark/>
          </w:tcPr>
          <w:p w14:paraId="25E0DABB" w14:textId="77777777" w:rsidR="00293CE6" w:rsidRPr="00293CE6" w:rsidRDefault="00293CE6" w:rsidP="00293CE6">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Number of leads</w:t>
            </w:r>
          </w:p>
        </w:tc>
        <w:tc>
          <w:tcPr>
            <w:tcW w:w="1796" w:type="dxa"/>
            <w:tcBorders>
              <w:top w:val="nil"/>
              <w:left w:val="nil"/>
              <w:bottom w:val="single" w:sz="8" w:space="0" w:color="000000"/>
              <w:right w:val="single" w:sz="4" w:space="0" w:color="000000"/>
            </w:tcBorders>
            <w:shd w:val="clear" w:color="auto" w:fill="FFFF00"/>
            <w:vAlign w:val="center"/>
            <w:hideMark/>
          </w:tcPr>
          <w:p w14:paraId="3E340DCD"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8" w:space="0" w:color="000000"/>
              <w:right w:val="single" w:sz="4" w:space="0" w:color="000000"/>
            </w:tcBorders>
            <w:shd w:val="clear" w:color="auto" w:fill="FFFF00"/>
            <w:vAlign w:val="center"/>
            <w:hideMark/>
          </w:tcPr>
          <w:p w14:paraId="6E025174"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8" w:space="0" w:color="000000"/>
              <w:right w:val="single" w:sz="4" w:space="0" w:color="000000"/>
            </w:tcBorders>
            <w:shd w:val="clear" w:color="auto" w:fill="FFFF00"/>
            <w:vAlign w:val="center"/>
            <w:hideMark/>
          </w:tcPr>
          <w:p w14:paraId="69FBC321"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8" w:space="0" w:color="000000"/>
              <w:right w:val="single" w:sz="4" w:space="0" w:color="000000"/>
            </w:tcBorders>
            <w:shd w:val="clear" w:color="auto" w:fill="E8E8E8"/>
            <w:vAlign w:val="bottom"/>
            <w:hideMark/>
          </w:tcPr>
          <w:p w14:paraId="7A79A9B8" w14:textId="77777777" w:rsidR="00293CE6" w:rsidRPr="00293CE6" w:rsidRDefault="00293CE6" w:rsidP="00293CE6">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8" w:space="0" w:color="000000"/>
              <w:right w:val="single" w:sz="8" w:space="0" w:color="000000"/>
            </w:tcBorders>
            <w:shd w:val="clear" w:color="auto" w:fill="auto"/>
            <w:vAlign w:val="center"/>
            <w:hideMark/>
          </w:tcPr>
          <w:p w14:paraId="2870E4CB" w14:textId="77777777" w:rsidR="00293CE6" w:rsidRPr="00293CE6" w:rsidRDefault="00293CE6" w:rsidP="00293CE6">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317518" w:rsidRPr="00293CE6" w14:paraId="57989F89" w14:textId="77777777" w:rsidTr="1FCB43CC">
        <w:trPr>
          <w:trHeight w:val="345"/>
        </w:trPr>
        <w:tc>
          <w:tcPr>
            <w:tcW w:w="676" w:type="dxa"/>
            <w:tcBorders>
              <w:top w:val="nil"/>
              <w:left w:val="single" w:sz="4" w:space="0" w:color="000000"/>
              <w:bottom w:val="single" w:sz="4" w:space="0" w:color="000000"/>
              <w:right w:val="nil"/>
            </w:tcBorders>
            <w:shd w:val="clear" w:color="auto" w:fill="auto"/>
            <w:noWrap/>
            <w:hideMark/>
          </w:tcPr>
          <w:p w14:paraId="15F19C24" w14:textId="507149C4"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6363B5">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shd w:val="clear" w:color="auto" w:fill="auto"/>
            <w:noWrap/>
            <w:vAlign w:val="center"/>
            <w:hideMark/>
          </w:tcPr>
          <w:p w14:paraId="70FFC381"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nil"/>
              <w:left w:val="nil"/>
              <w:bottom w:val="nil"/>
              <w:right w:val="single" w:sz="4" w:space="0" w:color="000000"/>
            </w:tcBorders>
            <w:shd w:val="clear" w:color="auto" w:fill="auto"/>
            <w:vAlign w:val="center"/>
            <w:hideMark/>
          </w:tcPr>
          <w:p w14:paraId="1EFC0F12"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Coordinate the collection of local funding, investment opportunities, potential customers / Number of funding, investment opportunities and potential customers collected</w:t>
            </w:r>
          </w:p>
        </w:tc>
        <w:tc>
          <w:tcPr>
            <w:tcW w:w="1796" w:type="dxa"/>
            <w:tcBorders>
              <w:top w:val="nil"/>
              <w:left w:val="nil"/>
              <w:bottom w:val="single" w:sz="4" w:space="0" w:color="000000"/>
              <w:right w:val="single" w:sz="4" w:space="0" w:color="000000"/>
            </w:tcBorders>
            <w:shd w:val="clear" w:color="auto" w:fill="FFFF00"/>
            <w:vAlign w:val="center"/>
            <w:hideMark/>
          </w:tcPr>
          <w:p w14:paraId="46DAEBE6"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7F09806D" w14:textId="77777777" w:rsidTr="1FCB43CC">
        <w:trPr>
          <w:trHeight w:val="345"/>
        </w:trPr>
        <w:tc>
          <w:tcPr>
            <w:tcW w:w="676" w:type="dxa"/>
            <w:tcBorders>
              <w:top w:val="nil"/>
              <w:left w:val="single" w:sz="4" w:space="0" w:color="000000"/>
              <w:bottom w:val="single" w:sz="4" w:space="0" w:color="000000"/>
              <w:right w:val="nil"/>
            </w:tcBorders>
            <w:shd w:val="clear" w:color="auto" w:fill="auto"/>
            <w:noWrap/>
            <w:hideMark/>
          </w:tcPr>
          <w:p w14:paraId="152D2177" w14:textId="00AF9DCD"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6363B5">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shd w:val="clear" w:color="auto" w:fill="auto"/>
            <w:noWrap/>
            <w:vAlign w:val="center"/>
            <w:hideMark/>
          </w:tcPr>
          <w:p w14:paraId="7F698BC6"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0F2417F4"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Direct engagement activities / Number of engagements with potential leads</w:t>
            </w:r>
          </w:p>
        </w:tc>
        <w:tc>
          <w:tcPr>
            <w:tcW w:w="1796" w:type="dxa"/>
            <w:tcBorders>
              <w:top w:val="nil"/>
              <w:left w:val="nil"/>
              <w:bottom w:val="single" w:sz="4" w:space="0" w:color="000000"/>
              <w:right w:val="single" w:sz="4" w:space="0" w:color="000000"/>
            </w:tcBorders>
            <w:shd w:val="clear" w:color="auto" w:fill="FFFF00"/>
            <w:vAlign w:val="center"/>
            <w:hideMark/>
          </w:tcPr>
          <w:p w14:paraId="76B7AA34"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402D07FA" w14:textId="77777777" w:rsidTr="1FCB43CC">
        <w:trPr>
          <w:trHeight w:val="345"/>
        </w:trPr>
        <w:tc>
          <w:tcPr>
            <w:tcW w:w="676" w:type="dxa"/>
            <w:tcBorders>
              <w:top w:val="nil"/>
              <w:left w:val="single" w:sz="4" w:space="0" w:color="000000"/>
              <w:bottom w:val="single" w:sz="4" w:space="0" w:color="000000"/>
              <w:right w:val="single" w:sz="4" w:space="0" w:color="000000"/>
            </w:tcBorders>
            <w:shd w:val="clear" w:color="auto" w:fill="E8E8E8"/>
            <w:noWrap/>
            <w:hideMark/>
          </w:tcPr>
          <w:p w14:paraId="2A90D966" w14:textId="4031399D"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6363B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E8E8E8"/>
            <w:noWrap/>
            <w:vAlign w:val="center"/>
            <w:hideMark/>
          </w:tcPr>
          <w:p w14:paraId="11F0E504"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E8E8E8"/>
            <w:vAlign w:val="center"/>
            <w:hideMark/>
          </w:tcPr>
          <w:p w14:paraId="618E7E74"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Leads generation for the Regional Innovation Booster companies (only MT, HR, HU, PL)</w:t>
            </w:r>
          </w:p>
        </w:tc>
        <w:tc>
          <w:tcPr>
            <w:tcW w:w="1796" w:type="dxa"/>
            <w:tcBorders>
              <w:top w:val="nil"/>
              <w:left w:val="nil"/>
              <w:bottom w:val="single" w:sz="4" w:space="0" w:color="000000"/>
              <w:right w:val="single" w:sz="4" w:space="0" w:color="000000"/>
            </w:tcBorders>
            <w:shd w:val="clear" w:color="auto" w:fill="E8E8E8"/>
            <w:vAlign w:val="center"/>
            <w:hideMark/>
          </w:tcPr>
          <w:p w14:paraId="3296043B"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317518" w:rsidRPr="00293CE6" w14:paraId="75EAAE63" w14:textId="77777777" w:rsidTr="1FCB43CC">
        <w:trPr>
          <w:trHeight w:val="345"/>
        </w:trPr>
        <w:tc>
          <w:tcPr>
            <w:tcW w:w="676" w:type="dxa"/>
            <w:tcBorders>
              <w:top w:val="nil"/>
              <w:left w:val="single" w:sz="4" w:space="0" w:color="000000"/>
              <w:bottom w:val="single" w:sz="4" w:space="0" w:color="000000"/>
              <w:right w:val="single" w:sz="4" w:space="0" w:color="000000"/>
            </w:tcBorders>
            <w:shd w:val="clear" w:color="auto" w:fill="FFFF00"/>
            <w:noWrap/>
            <w:hideMark/>
          </w:tcPr>
          <w:p w14:paraId="1A97D2AC" w14:textId="5899118A"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8E30E6">
              <w:rPr>
                <w:rFonts w:ascii="Aptos Narrow" w:eastAsia="Times New Roman" w:hAnsi="Aptos Narrow" w:cs="Times New Roman"/>
                <w:color w:val="6BB745"/>
                <w:sz w:val="14"/>
                <w:szCs w:val="14"/>
                <w:lang w:eastAsia="en-GB"/>
              </w:rPr>
              <w:lastRenderedPageBreak/>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4D79C396"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535126AF"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Arrangement of funding opportunity by the national authorities to reimburse membership fees for KIC partners / Number of funding opportunity generated</w:t>
            </w:r>
          </w:p>
        </w:tc>
        <w:tc>
          <w:tcPr>
            <w:tcW w:w="1796" w:type="dxa"/>
            <w:tcBorders>
              <w:top w:val="nil"/>
              <w:left w:val="nil"/>
              <w:bottom w:val="single" w:sz="4" w:space="0" w:color="000000"/>
              <w:right w:val="single" w:sz="4" w:space="0" w:color="000000"/>
            </w:tcBorders>
            <w:shd w:val="clear" w:color="auto" w:fill="FFFF00"/>
            <w:vAlign w:val="center"/>
            <w:hideMark/>
          </w:tcPr>
          <w:p w14:paraId="6B45F591"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5F993CB7" w14:textId="77777777" w:rsidTr="1FCB43CC">
        <w:trPr>
          <w:trHeight w:val="345"/>
        </w:trPr>
        <w:tc>
          <w:tcPr>
            <w:tcW w:w="676" w:type="dxa"/>
            <w:tcBorders>
              <w:top w:val="nil"/>
              <w:left w:val="single" w:sz="4" w:space="0" w:color="000000"/>
              <w:bottom w:val="single" w:sz="4" w:space="0" w:color="000000"/>
              <w:right w:val="single" w:sz="4" w:space="0" w:color="000000"/>
            </w:tcBorders>
            <w:shd w:val="clear" w:color="auto" w:fill="FFFF00"/>
            <w:noWrap/>
            <w:hideMark/>
          </w:tcPr>
          <w:p w14:paraId="47310FC3" w14:textId="325ED809"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8E30E6">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40369929"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099E9443"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proofErr w:type="spellStart"/>
            <w:r w:rsidRPr="00293CE6">
              <w:rPr>
                <w:rFonts w:ascii="Titillium" w:eastAsia="Times New Roman" w:hAnsi="Titillium" w:cs="Times New Roman"/>
                <w:color w:val="000000"/>
                <w:sz w:val="16"/>
                <w:szCs w:val="16"/>
                <w:lang w:eastAsia="en-GB"/>
              </w:rPr>
              <w:t>Faciltation</w:t>
            </w:r>
            <w:proofErr w:type="spellEnd"/>
            <w:r w:rsidRPr="00293CE6">
              <w:rPr>
                <w:rFonts w:ascii="Titillium" w:eastAsia="Times New Roman" w:hAnsi="Titillium" w:cs="Times New Roman"/>
                <w:color w:val="000000"/>
                <w:sz w:val="16"/>
                <w:szCs w:val="16"/>
                <w:lang w:eastAsia="en-GB"/>
              </w:rPr>
              <w:t xml:space="preserve"> of funding by the national authorities to pilot the EIT Regional Innovation Booster in a country (other than PL MT, HU, HR) / Number of warm introductory meetings</w:t>
            </w:r>
          </w:p>
        </w:tc>
        <w:tc>
          <w:tcPr>
            <w:tcW w:w="1796" w:type="dxa"/>
            <w:tcBorders>
              <w:top w:val="nil"/>
              <w:left w:val="nil"/>
              <w:bottom w:val="single" w:sz="4" w:space="0" w:color="000000"/>
              <w:right w:val="single" w:sz="4" w:space="0" w:color="000000"/>
            </w:tcBorders>
            <w:shd w:val="clear" w:color="auto" w:fill="FFFF00"/>
            <w:vAlign w:val="center"/>
            <w:hideMark/>
          </w:tcPr>
          <w:p w14:paraId="23AA8411"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1AF9EA2A" w14:textId="77777777" w:rsidTr="1FCB43CC">
        <w:trPr>
          <w:trHeight w:val="345"/>
        </w:trPr>
        <w:tc>
          <w:tcPr>
            <w:tcW w:w="676" w:type="dxa"/>
            <w:tcBorders>
              <w:top w:val="nil"/>
              <w:left w:val="single" w:sz="4" w:space="0" w:color="000000"/>
              <w:bottom w:val="single" w:sz="4" w:space="0" w:color="000000"/>
              <w:right w:val="single" w:sz="4" w:space="0" w:color="000000"/>
            </w:tcBorders>
            <w:shd w:val="clear" w:color="auto" w:fill="FFFF00"/>
            <w:noWrap/>
            <w:hideMark/>
          </w:tcPr>
          <w:p w14:paraId="14BB2FB2" w14:textId="40968991"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8E30E6">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6C2172C3"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5A3C9E65"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629576C2"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0EBC0D62" w14:textId="77777777" w:rsidTr="1FCB43CC">
        <w:trPr>
          <w:trHeight w:val="345"/>
        </w:trPr>
        <w:tc>
          <w:tcPr>
            <w:tcW w:w="676" w:type="dxa"/>
            <w:tcBorders>
              <w:top w:val="nil"/>
              <w:left w:val="single" w:sz="4" w:space="0" w:color="000000"/>
              <w:bottom w:val="single" w:sz="4" w:space="0" w:color="000000"/>
              <w:right w:val="single" w:sz="4" w:space="0" w:color="000000"/>
            </w:tcBorders>
            <w:shd w:val="clear" w:color="auto" w:fill="FFFF00"/>
            <w:noWrap/>
            <w:hideMark/>
          </w:tcPr>
          <w:p w14:paraId="00990023" w14:textId="2B3DD4C3"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8E30E6">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08A6FF02"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09919D5D"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324EA927"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293CE6" w:rsidRPr="00293CE6" w14:paraId="1EA4F07F" w14:textId="77777777" w:rsidTr="1FCB43CC">
        <w:trPr>
          <w:trHeight w:val="600"/>
        </w:trPr>
        <w:tc>
          <w:tcPr>
            <w:tcW w:w="14284"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14:paraId="5F5A1A04" w14:textId="77777777" w:rsidR="00293CE6" w:rsidRPr="00293CE6" w:rsidRDefault="00293CE6" w:rsidP="00293CE6">
            <w:pPr>
              <w:spacing w:after="0" w:line="240" w:lineRule="auto"/>
              <w:jc w:val="center"/>
              <w:rPr>
                <w:rFonts w:ascii="Titillium" w:eastAsia="Times New Roman" w:hAnsi="Titillium" w:cs="Times New Roman"/>
                <w:color w:val="000000"/>
                <w:szCs w:val="20"/>
                <w:lang w:eastAsia="en-GB"/>
              </w:rPr>
            </w:pPr>
            <w:r w:rsidRPr="00293CE6">
              <w:rPr>
                <w:rFonts w:ascii="Titillium" w:eastAsia="Times New Roman" w:hAnsi="Titillium" w:cs="Times New Roman"/>
                <w:color w:val="000000"/>
                <w:szCs w:val="20"/>
                <w:lang w:eastAsia="en-GB"/>
              </w:rPr>
              <w:t xml:space="preserve">WP2 Activity descriptions </w:t>
            </w:r>
            <w:r w:rsidRPr="00293CE6">
              <w:rPr>
                <w:rFonts w:ascii="Titillium" w:eastAsia="Times New Roman" w:hAnsi="Titillium" w:cs="Times New Roman"/>
                <w:color w:val="000000"/>
                <w:szCs w:val="20"/>
                <w:lang w:eastAsia="en-GB"/>
              </w:rPr>
              <w:br/>
              <w:t>Please provide strategic approach, methodology and description of the activities</w:t>
            </w:r>
          </w:p>
        </w:tc>
      </w:tr>
      <w:tr w:rsidR="00293CE6" w:rsidRPr="00293CE6" w14:paraId="12AA3A5A" w14:textId="77777777" w:rsidTr="1FCB43CC">
        <w:trPr>
          <w:trHeight w:val="4005"/>
        </w:trPr>
        <w:tc>
          <w:tcPr>
            <w:tcW w:w="14284" w:type="dxa"/>
            <w:gridSpan w:val="9"/>
            <w:tcBorders>
              <w:top w:val="nil"/>
              <w:left w:val="single" w:sz="4" w:space="0" w:color="000000"/>
              <w:bottom w:val="nil"/>
              <w:right w:val="single" w:sz="4" w:space="0" w:color="000000"/>
            </w:tcBorders>
            <w:shd w:val="clear" w:color="auto" w:fill="FFFF00"/>
            <w:noWrap/>
            <w:hideMark/>
          </w:tcPr>
          <w:p w14:paraId="38AAFC9F" w14:textId="77777777" w:rsidR="00293CE6" w:rsidRPr="00293CE6" w:rsidRDefault="00293CE6" w:rsidP="00293CE6">
            <w:pPr>
              <w:spacing w:after="0" w:line="240" w:lineRule="auto"/>
              <w:rPr>
                <w:rFonts w:ascii="Aptos Narrow" w:eastAsia="Times New Roman" w:hAnsi="Aptos Narrow" w:cs="Times New Roman"/>
                <w:i/>
                <w:iCs/>
                <w:color w:val="000000"/>
                <w:sz w:val="22"/>
                <w:lang w:eastAsia="en-GB"/>
              </w:rPr>
            </w:pPr>
            <w:r w:rsidRPr="00293CE6">
              <w:rPr>
                <w:rFonts w:ascii="Aptos Narrow" w:eastAsia="Times New Roman" w:hAnsi="Aptos Narrow" w:cs="Times New Roman"/>
                <w:i/>
                <w:iCs/>
                <w:color w:val="000000"/>
                <w:sz w:val="22"/>
                <w:lang w:eastAsia="en-GB"/>
              </w:rPr>
              <w:t>[Max 1,000 words]</w:t>
            </w:r>
          </w:p>
        </w:tc>
      </w:tr>
      <w:tr w:rsidR="00293CE6" w:rsidRPr="00293CE6" w14:paraId="74A89BB1" w14:textId="77777777" w:rsidTr="1FCB43CC">
        <w:trPr>
          <w:trHeight w:val="345"/>
        </w:trPr>
        <w:tc>
          <w:tcPr>
            <w:tcW w:w="14284" w:type="dxa"/>
            <w:gridSpan w:val="9"/>
            <w:tcBorders>
              <w:top w:val="single" w:sz="8" w:space="0" w:color="000000"/>
              <w:left w:val="single" w:sz="8" w:space="0" w:color="000000"/>
              <w:bottom w:val="single" w:sz="4" w:space="0" w:color="000000"/>
              <w:right w:val="single" w:sz="8" w:space="0" w:color="000000"/>
            </w:tcBorders>
            <w:shd w:val="clear" w:color="auto" w:fill="034EA2" w:themeFill="text2"/>
            <w:vAlign w:val="center"/>
            <w:hideMark/>
          </w:tcPr>
          <w:p w14:paraId="3FED76D1" w14:textId="1CDCFE9A" w:rsidR="00293CE6" w:rsidRPr="00293CE6" w:rsidRDefault="69D3E196" w:rsidP="1FCB43CC">
            <w:pPr>
              <w:spacing w:after="0" w:line="240" w:lineRule="auto"/>
              <w:jc w:val="center"/>
              <w:rPr>
                <w:rFonts w:ascii="Titillium" w:eastAsia="Times New Roman" w:hAnsi="Titillium" w:cs="Times New Roman"/>
                <w:b/>
                <w:bCs/>
                <w:color w:val="FFFFFF" w:themeColor="background1"/>
                <w:lang w:eastAsia="en-GB"/>
              </w:rPr>
            </w:pPr>
            <w:r w:rsidRPr="1FCB43CC">
              <w:rPr>
                <w:rFonts w:ascii="Titillium" w:eastAsia="Times New Roman" w:hAnsi="Titillium" w:cs="Times New Roman"/>
                <w:b/>
                <w:bCs/>
                <w:color w:val="FFFFFF" w:themeColor="background1"/>
                <w:lang w:eastAsia="en-GB"/>
              </w:rPr>
              <w:t>Work Package 3</w:t>
            </w:r>
          </w:p>
          <w:p w14:paraId="278D5953" w14:textId="78F6AE06" w:rsidR="00293CE6" w:rsidRPr="00293CE6" w:rsidRDefault="7D87ADF7" w:rsidP="1FCB43CC">
            <w:pPr>
              <w:spacing w:after="0" w:line="240" w:lineRule="auto"/>
              <w:jc w:val="center"/>
              <w:rPr>
                <w:rFonts w:ascii="Titillium" w:eastAsia="Times New Roman" w:hAnsi="Titillium" w:cs="Times New Roman"/>
                <w:b/>
                <w:bCs/>
                <w:color w:val="FFFFFF"/>
                <w:lang w:eastAsia="en-GB"/>
              </w:rPr>
            </w:pPr>
            <w:r w:rsidRPr="1FCB43CC">
              <w:rPr>
                <w:rFonts w:ascii="Titillium" w:eastAsia="Times New Roman" w:hAnsi="Titillium" w:cs="Times New Roman"/>
                <w:b/>
                <w:bCs/>
                <w:color w:val="FFFFFF" w:themeColor="background1"/>
                <w:lang w:eastAsia="en-GB"/>
              </w:rPr>
              <w:t>External fundraising</w:t>
            </w:r>
          </w:p>
        </w:tc>
      </w:tr>
      <w:tr w:rsidR="00293CE6" w:rsidRPr="0040660E" w14:paraId="60BD1385" w14:textId="77777777" w:rsidTr="1FCB43CC">
        <w:trPr>
          <w:trHeight w:val="1005"/>
        </w:trPr>
        <w:tc>
          <w:tcPr>
            <w:tcW w:w="3368" w:type="dxa"/>
            <w:gridSpan w:val="3"/>
            <w:vMerge w:val="restart"/>
            <w:tcBorders>
              <w:top w:val="single" w:sz="4" w:space="0" w:color="000000"/>
              <w:left w:val="single" w:sz="8" w:space="0" w:color="000000"/>
              <w:bottom w:val="single" w:sz="8" w:space="0" w:color="000000"/>
              <w:right w:val="single" w:sz="4" w:space="0" w:color="000000"/>
            </w:tcBorders>
            <w:shd w:val="clear" w:color="auto" w:fill="034EA2" w:themeFill="text2"/>
            <w:vAlign w:val="center"/>
            <w:hideMark/>
          </w:tcPr>
          <w:p w14:paraId="0369CDA4" w14:textId="77777777" w:rsidR="00293CE6" w:rsidRPr="00293CE6" w:rsidRDefault="00293CE6" w:rsidP="00293CE6">
            <w:pPr>
              <w:spacing w:after="0" w:line="240" w:lineRule="auto"/>
              <w:jc w:val="center"/>
              <w:rPr>
                <w:rFonts w:ascii="Titillium" w:eastAsia="Times New Roman" w:hAnsi="Titillium" w:cs="Times New Roman"/>
                <w:color w:val="FFFFFF"/>
                <w:sz w:val="16"/>
                <w:szCs w:val="16"/>
                <w:lang w:eastAsia="en-GB"/>
              </w:rPr>
            </w:pPr>
            <w:r w:rsidRPr="00293CE6">
              <w:rPr>
                <w:rFonts w:ascii="Titillium" w:eastAsia="Times New Roman" w:hAnsi="Titillium" w:cs="Times New Roman"/>
                <w:color w:val="FFFFFF"/>
                <w:sz w:val="16"/>
                <w:szCs w:val="16"/>
                <w:lang w:eastAsia="en-GB"/>
              </w:rPr>
              <w:t> EITECO03 - External fundraising</w:t>
            </w:r>
          </w:p>
        </w:tc>
        <w:tc>
          <w:tcPr>
            <w:tcW w:w="1936" w:type="dxa"/>
            <w:tcBorders>
              <w:top w:val="nil"/>
              <w:left w:val="nil"/>
              <w:bottom w:val="single" w:sz="4" w:space="0" w:color="000000"/>
              <w:right w:val="single" w:sz="4" w:space="0" w:color="000000"/>
            </w:tcBorders>
            <w:shd w:val="clear" w:color="auto" w:fill="auto"/>
            <w:noWrap/>
            <w:vAlign w:val="center"/>
            <w:hideMark/>
          </w:tcPr>
          <w:p w14:paraId="0D02B545" w14:textId="77777777" w:rsidR="00293CE6" w:rsidRPr="00293CE6" w:rsidRDefault="00293CE6" w:rsidP="00293CE6">
            <w:pPr>
              <w:spacing w:after="0" w:line="240" w:lineRule="auto"/>
              <w:jc w:val="center"/>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KPI</w:t>
            </w:r>
          </w:p>
        </w:tc>
        <w:tc>
          <w:tcPr>
            <w:tcW w:w="1796" w:type="dxa"/>
            <w:tcBorders>
              <w:top w:val="nil"/>
              <w:left w:val="nil"/>
              <w:bottom w:val="single" w:sz="4" w:space="0" w:color="000000"/>
              <w:right w:val="single" w:sz="4" w:space="0" w:color="000000"/>
            </w:tcBorders>
            <w:shd w:val="clear" w:color="auto" w:fill="auto"/>
            <w:vAlign w:val="center"/>
            <w:hideMark/>
          </w:tcPr>
          <w:p w14:paraId="3BF0BD62" w14:textId="77777777" w:rsidR="00293CE6" w:rsidRPr="00293CE6" w:rsidRDefault="00293CE6" w:rsidP="00293CE6">
            <w:pPr>
              <w:spacing w:after="0" w:line="240" w:lineRule="auto"/>
              <w:jc w:val="center"/>
              <w:rPr>
                <w:rFonts w:ascii="Titillium" w:eastAsia="Times New Roman" w:hAnsi="Titillium" w:cs="Times New Roman"/>
                <w:b/>
                <w:bCs/>
                <w:i/>
                <w:iCs/>
                <w:color w:val="000000"/>
                <w:sz w:val="16"/>
                <w:szCs w:val="16"/>
                <w:lang w:eastAsia="en-GB"/>
              </w:rPr>
            </w:pPr>
            <w:r w:rsidRPr="00293CE6">
              <w:rPr>
                <w:rFonts w:ascii="Titillium" w:eastAsia="Times New Roman" w:hAnsi="Titillium" w:cs="Times New Roman"/>
                <w:b/>
                <w:bCs/>
                <w:i/>
                <w:iCs/>
                <w:color w:val="000000"/>
                <w:sz w:val="16"/>
                <w:szCs w:val="16"/>
                <w:lang w:eastAsia="en-GB"/>
              </w:rPr>
              <w:t>External funding raised</w:t>
            </w:r>
          </w:p>
        </w:tc>
        <w:tc>
          <w:tcPr>
            <w:tcW w:w="1796" w:type="dxa"/>
            <w:tcBorders>
              <w:top w:val="nil"/>
              <w:left w:val="nil"/>
              <w:bottom w:val="single" w:sz="4" w:space="0" w:color="000000"/>
              <w:right w:val="single" w:sz="4" w:space="0" w:color="000000"/>
            </w:tcBorders>
            <w:shd w:val="clear" w:color="auto" w:fill="E8E8E8"/>
            <w:vAlign w:val="bottom"/>
            <w:hideMark/>
          </w:tcPr>
          <w:p w14:paraId="1D9E1D9D" w14:textId="77777777" w:rsidR="00293CE6" w:rsidRPr="00293CE6" w:rsidRDefault="00293CE6" w:rsidP="00293CE6">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4" w:space="0" w:color="000000"/>
            </w:tcBorders>
            <w:shd w:val="clear" w:color="auto" w:fill="E8E8E8"/>
            <w:vAlign w:val="bottom"/>
            <w:hideMark/>
          </w:tcPr>
          <w:p w14:paraId="55E2CEAD" w14:textId="77777777" w:rsidR="00293CE6" w:rsidRPr="00293CE6" w:rsidRDefault="00293CE6" w:rsidP="00293CE6">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4" w:space="0" w:color="000000"/>
            </w:tcBorders>
            <w:shd w:val="clear" w:color="auto" w:fill="E8E8E8"/>
            <w:vAlign w:val="bottom"/>
            <w:hideMark/>
          </w:tcPr>
          <w:p w14:paraId="791F96FD" w14:textId="77777777" w:rsidR="00293CE6" w:rsidRPr="00293CE6" w:rsidRDefault="00293CE6" w:rsidP="00293CE6">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4" w:space="0" w:color="000000"/>
              <w:right w:val="single" w:sz="8" w:space="0" w:color="000000"/>
            </w:tcBorders>
            <w:shd w:val="clear" w:color="auto" w:fill="auto"/>
            <w:vAlign w:val="center"/>
            <w:hideMark/>
          </w:tcPr>
          <w:p w14:paraId="4BF06770" w14:textId="77777777" w:rsidR="00293CE6" w:rsidRPr="00293CE6" w:rsidRDefault="00293CE6" w:rsidP="00293CE6">
            <w:pPr>
              <w:spacing w:after="0" w:line="240" w:lineRule="auto"/>
              <w:jc w:val="center"/>
              <w:rPr>
                <w:rFonts w:ascii="Titillium" w:eastAsia="Times New Roman" w:hAnsi="Titillium" w:cs="Times New Roman"/>
                <w:b/>
                <w:bCs/>
                <w:i/>
                <w:iCs/>
                <w:color w:val="333333"/>
                <w:sz w:val="16"/>
                <w:szCs w:val="16"/>
                <w:lang w:val="fr-FR" w:eastAsia="en-GB"/>
              </w:rPr>
            </w:pPr>
            <w:r w:rsidRPr="00293CE6">
              <w:rPr>
                <w:rFonts w:ascii="Titillium" w:eastAsia="Times New Roman" w:hAnsi="Titillium" w:cs="Times New Roman"/>
                <w:b/>
                <w:bCs/>
                <w:i/>
                <w:iCs/>
                <w:color w:val="333333"/>
                <w:sz w:val="16"/>
                <w:szCs w:val="16"/>
                <w:lang w:val="fr-FR" w:eastAsia="en-GB"/>
              </w:rPr>
              <w:t>KPI Total</w:t>
            </w:r>
            <w:r w:rsidRPr="00293CE6">
              <w:rPr>
                <w:rFonts w:ascii="Titillium" w:eastAsia="Times New Roman" w:hAnsi="Titillium" w:cs="Times New Roman"/>
                <w:b/>
                <w:bCs/>
                <w:i/>
                <w:iCs/>
                <w:color w:val="333333"/>
                <w:sz w:val="16"/>
                <w:szCs w:val="16"/>
                <w:lang w:val="fr-FR" w:eastAsia="en-GB"/>
              </w:rPr>
              <w:br/>
            </w:r>
            <w:r w:rsidRPr="00293CE6">
              <w:rPr>
                <w:rFonts w:ascii="Titillium" w:eastAsia="Times New Roman" w:hAnsi="Titillium" w:cs="Times New Roman"/>
                <w:i/>
                <w:iCs/>
                <w:color w:val="333333"/>
                <w:sz w:val="16"/>
                <w:szCs w:val="16"/>
                <w:lang w:val="fr-FR" w:eastAsia="en-GB"/>
              </w:rPr>
              <w:t>Minimum:</w:t>
            </w:r>
            <w:r w:rsidRPr="00293CE6">
              <w:rPr>
                <w:rFonts w:ascii="Titillium" w:eastAsia="Times New Roman" w:hAnsi="Titillium" w:cs="Times New Roman"/>
                <w:i/>
                <w:iCs/>
                <w:color w:val="333333"/>
                <w:sz w:val="16"/>
                <w:szCs w:val="16"/>
                <w:lang w:val="fr-FR" w:eastAsia="en-GB"/>
              </w:rPr>
              <w:br/>
              <w:t>10k EUR</w:t>
            </w:r>
          </w:p>
        </w:tc>
      </w:tr>
      <w:tr w:rsidR="00293CE6" w:rsidRPr="00293CE6" w14:paraId="759D4E5A" w14:textId="77777777" w:rsidTr="1FCB43CC">
        <w:trPr>
          <w:trHeight w:val="495"/>
        </w:trPr>
        <w:tc>
          <w:tcPr>
            <w:tcW w:w="3368" w:type="dxa"/>
            <w:gridSpan w:val="3"/>
            <w:vMerge/>
            <w:vAlign w:val="center"/>
            <w:hideMark/>
          </w:tcPr>
          <w:p w14:paraId="50A2BB5E" w14:textId="77777777" w:rsidR="00293CE6" w:rsidRPr="00293CE6" w:rsidRDefault="00293CE6" w:rsidP="00293CE6">
            <w:pPr>
              <w:spacing w:after="0" w:line="240" w:lineRule="auto"/>
              <w:rPr>
                <w:rFonts w:ascii="Titillium" w:eastAsia="Times New Roman" w:hAnsi="Titillium" w:cs="Times New Roman"/>
                <w:color w:val="FFFFFF"/>
                <w:sz w:val="16"/>
                <w:szCs w:val="16"/>
                <w:lang w:val="fr-FR" w:eastAsia="en-GB"/>
              </w:rPr>
            </w:pPr>
          </w:p>
        </w:tc>
        <w:tc>
          <w:tcPr>
            <w:tcW w:w="1936" w:type="dxa"/>
            <w:tcBorders>
              <w:top w:val="nil"/>
              <w:left w:val="nil"/>
              <w:bottom w:val="single" w:sz="8" w:space="0" w:color="000000"/>
              <w:right w:val="single" w:sz="4" w:space="0" w:color="000000"/>
            </w:tcBorders>
            <w:shd w:val="clear" w:color="auto" w:fill="auto"/>
            <w:vAlign w:val="center"/>
            <w:hideMark/>
          </w:tcPr>
          <w:p w14:paraId="0DFAEE20" w14:textId="77777777" w:rsidR="00293CE6" w:rsidRPr="00293CE6" w:rsidRDefault="00293CE6" w:rsidP="00293CE6">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Amount of funding</w:t>
            </w:r>
          </w:p>
        </w:tc>
        <w:tc>
          <w:tcPr>
            <w:tcW w:w="1796" w:type="dxa"/>
            <w:tcBorders>
              <w:top w:val="nil"/>
              <w:left w:val="nil"/>
              <w:bottom w:val="single" w:sz="8" w:space="0" w:color="000000"/>
              <w:right w:val="single" w:sz="4" w:space="0" w:color="000000"/>
            </w:tcBorders>
            <w:shd w:val="clear" w:color="auto" w:fill="FFFF00"/>
            <w:vAlign w:val="center"/>
            <w:hideMark/>
          </w:tcPr>
          <w:p w14:paraId="6E8E0775"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 xml:space="preserve">Number </w:t>
            </w:r>
          </w:p>
        </w:tc>
        <w:tc>
          <w:tcPr>
            <w:tcW w:w="1796" w:type="dxa"/>
            <w:tcBorders>
              <w:top w:val="nil"/>
              <w:left w:val="nil"/>
              <w:bottom w:val="single" w:sz="8" w:space="0" w:color="000000"/>
              <w:right w:val="single" w:sz="4" w:space="0" w:color="000000"/>
            </w:tcBorders>
            <w:shd w:val="clear" w:color="auto" w:fill="E8E8E8"/>
            <w:vAlign w:val="bottom"/>
            <w:hideMark/>
          </w:tcPr>
          <w:p w14:paraId="59C0F86E" w14:textId="77777777" w:rsidR="00293CE6" w:rsidRPr="00293CE6" w:rsidRDefault="00293CE6" w:rsidP="00293CE6">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8" w:space="0" w:color="000000"/>
              <w:right w:val="single" w:sz="4" w:space="0" w:color="000000"/>
            </w:tcBorders>
            <w:shd w:val="clear" w:color="auto" w:fill="E8E8E8"/>
            <w:vAlign w:val="bottom"/>
            <w:hideMark/>
          </w:tcPr>
          <w:p w14:paraId="5B078793" w14:textId="77777777" w:rsidR="00293CE6" w:rsidRPr="00293CE6" w:rsidRDefault="00293CE6" w:rsidP="00293CE6">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8" w:space="0" w:color="000000"/>
              <w:right w:val="single" w:sz="4" w:space="0" w:color="000000"/>
            </w:tcBorders>
            <w:shd w:val="clear" w:color="auto" w:fill="E8E8E8"/>
            <w:vAlign w:val="bottom"/>
            <w:hideMark/>
          </w:tcPr>
          <w:p w14:paraId="4AE8F6A8" w14:textId="77777777" w:rsidR="00293CE6" w:rsidRPr="00293CE6" w:rsidRDefault="00293CE6" w:rsidP="00293CE6">
            <w:pPr>
              <w:spacing w:after="0" w:line="240" w:lineRule="auto"/>
              <w:jc w:val="center"/>
              <w:rPr>
                <w:rFonts w:ascii="Titillium" w:eastAsia="Times New Roman" w:hAnsi="Titillium" w:cs="Times New Roman"/>
                <w:i/>
                <w:iCs/>
                <w:color w:val="333333"/>
                <w:szCs w:val="20"/>
                <w:lang w:eastAsia="en-GB"/>
              </w:rPr>
            </w:pPr>
            <w:r w:rsidRPr="00293CE6">
              <w:rPr>
                <w:rFonts w:ascii="Titillium" w:eastAsia="Times New Roman" w:hAnsi="Titillium" w:cs="Times New Roman"/>
                <w:i/>
                <w:iCs/>
                <w:color w:val="333333"/>
                <w:szCs w:val="20"/>
                <w:lang w:eastAsia="en-GB"/>
              </w:rPr>
              <w:t> </w:t>
            </w:r>
          </w:p>
        </w:tc>
        <w:tc>
          <w:tcPr>
            <w:tcW w:w="1796" w:type="dxa"/>
            <w:tcBorders>
              <w:top w:val="nil"/>
              <w:left w:val="nil"/>
              <w:bottom w:val="single" w:sz="8" w:space="0" w:color="000000"/>
              <w:right w:val="single" w:sz="8" w:space="0" w:color="000000"/>
            </w:tcBorders>
            <w:shd w:val="clear" w:color="auto" w:fill="auto"/>
            <w:vAlign w:val="center"/>
            <w:hideMark/>
          </w:tcPr>
          <w:p w14:paraId="664B6638" w14:textId="77777777" w:rsidR="00293CE6" w:rsidRPr="00293CE6" w:rsidRDefault="00293CE6" w:rsidP="00293CE6">
            <w:pPr>
              <w:spacing w:after="0" w:line="240" w:lineRule="auto"/>
              <w:jc w:val="center"/>
              <w:rPr>
                <w:rFonts w:ascii="Titillium" w:eastAsia="Times New Roman" w:hAnsi="Titillium" w:cs="Times New Roman"/>
                <w:i/>
                <w:iCs/>
                <w:color w:val="333333"/>
                <w:sz w:val="16"/>
                <w:szCs w:val="16"/>
                <w:lang w:eastAsia="en-GB"/>
              </w:rPr>
            </w:pPr>
            <w:r w:rsidRPr="00293CE6">
              <w:rPr>
                <w:rFonts w:ascii="Titillium" w:eastAsia="Times New Roman" w:hAnsi="Titillium" w:cs="Times New Roman"/>
                <w:i/>
                <w:iCs/>
                <w:color w:val="333333"/>
                <w:sz w:val="16"/>
                <w:szCs w:val="16"/>
                <w:lang w:eastAsia="en-GB"/>
              </w:rPr>
              <w:t>0</w:t>
            </w:r>
          </w:p>
        </w:tc>
      </w:tr>
      <w:tr w:rsidR="00317518" w:rsidRPr="00293CE6" w14:paraId="31C1E502" w14:textId="77777777" w:rsidTr="1FCB43CC">
        <w:trPr>
          <w:trHeight w:val="405"/>
        </w:trPr>
        <w:tc>
          <w:tcPr>
            <w:tcW w:w="676" w:type="dxa"/>
            <w:tcBorders>
              <w:top w:val="nil"/>
              <w:left w:val="single" w:sz="4" w:space="0" w:color="000000"/>
              <w:bottom w:val="single" w:sz="4" w:space="0" w:color="000000"/>
              <w:right w:val="nil"/>
            </w:tcBorders>
            <w:shd w:val="clear" w:color="auto" w:fill="auto"/>
            <w:noWrap/>
            <w:hideMark/>
          </w:tcPr>
          <w:p w14:paraId="2ED3D4FF" w14:textId="141FDFD2"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C263A">
              <w:rPr>
                <w:rFonts w:ascii="Aptos Narrow" w:eastAsia="Times New Roman" w:hAnsi="Aptos Narrow" w:cs="Times New Roman"/>
                <w:color w:val="6BB745"/>
                <w:sz w:val="14"/>
                <w:szCs w:val="14"/>
                <w:lang w:eastAsia="en-GB"/>
              </w:rPr>
              <w:t>YES</w:t>
            </w:r>
          </w:p>
        </w:tc>
        <w:tc>
          <w:tcPr>
            <w:tcW w:w="4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9F0FAF"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nil"/>
              <w:right w:val="single" w:sz="4" w:space="0" w:color="000000"/>
            </w:tcBorders>
            <w:shd w:val="clear" w:color="auto" w:fill="auto"/>
            <w:vAlign w:val="center"/>
            <w:hideMark/>
          </w:tcPr>
          <w:p w14:paraId="64296644"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Scout for and recommend to the EIT KICs opportunities to implement joint projects, including projects involving local authorities and institutions to strengthen cooperation with EIT and EIT KICs, financed through other EU, national, regional funds (including ESIF and IPA III) / Number of projects scouted and recommended</w:t>
            </w:r>
          </w:p>
        </w:tc>
        <w:tc>
          <w:tcPr>
            <w:tcW w:w="1796" w:type="dxa"/>
            <w:tcBorders>
              <w:top w:val="single" w:sz="4" w:space="0" w:color="000000"/>
              <w:left w:val="nil"/>
              <w:bottom w:val="single" w:sz="4" w:space="0" w:color="000000"/>
              <w:right w:val="single" w:sz="4" w:space="0" w:color="000000"/>
            </w:tcBorders>
            <w:shd w:val="clear" w:color="auto" w:fill="FFFF00"/>
            <w:vAlign w:val="center"/>
            <w:hideMark/>
          </w:tcPr>
          <w:p w14:paraId="234539AA"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241DD5BE" w14:textId="77777777" w:rsidTr="1FCB43CC">
        <w:trPr>
          <w:trHeight w:val="405"/>
        </w:trPr>
        <w:tc>
          <w:tcPr>
            <w:tcW w:w="676" w:type="dxa"/>
            <w:tcBorders>
              <w:top w:val="nil"/>
              <w:left w:val="single" w:sz="4" w:space="0" w:color="000000"/>
              <w:bottom w:val="single" w:sz="4" w:space="0" w:color="000000"/>
              <w:right w:val="nil"/>
            </w:tcBorders>
            <w:shd w:val="clear" w:color="auto" w:fill="auto"/>
            <w:noWrap/>
            <w:hideMark/>
          </w:tcPr>
          <w:p w14:paraId="767B44AE" w14:textId="41D8BD7E"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C263A">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shd w:val="clear" w:color="auto" w:fill="auto"/>
            <w:noWrap/>
            <w:vAlign w:val="center"/>
            <w:hideMark/>
          </w:tcPr>
          <w:p w14:paraId="7206C7EF"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nil"/>
              <w:right w:val="single" w:sz="4" w:space="0" w:color="000000"/>
            </w:tcBorders>
            <w:shd w:val="clear" w:color="auto" w:fill="auto"/>
            <w:vAlign w:val="center"/>
            <w:hideMark/>
          </w:tcPr>
          <w:p w14:paraId="09311E6E"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Scout for and recommend to the EIT KICs opportunities  to implement joint projects, including local talents which could be supported via the portfolio of opportunities offered by the EIT Community; / Number of projects scouted and recommended</w:t>
            </w:r>
          </w:p>
        </w:tc>
        <w:tc>
          <w:tcPr>
            <w:tcW w:w="1796" w:type="dxa"/>
            <w:tcBorders>
              <w:top w:val="nil"/>
              <w:left w:val="nil"/>
              <w:bottom w:val="single" w:sz="4" w:space="0" w:color="000000"/>
              <w:right w:val="single" w:sz="4" w:space="0" w:color="000000"/>
            </w:tcBorders>
            <w:shd w:val="clear" w:color="auto" w:fill="FFFF00"/>
            <w:vAlign w:val="center"/>
            <w:hideMark/>
          </w:tcPr>
          <w:p w14:paraId="3C690627"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422800AD" w14:textId="77777777" w:rsidTr="1FCB43CC">
        <w:trPr>
          <w:trHeight w:val="405"/>
        </w:trPr>
        <w:tc>
          <w:tcPr>
            <w:tcW w:w="676" w:type="dxa"/>
            <w:tcBorders>
              <w:top w:val="nil"/>
              <w:left w:val="single" w:sz="4" w:space="0" w:color="000000"/>
              <w:bottom w:val="single" w:sz="4" w:space="0" w:color="000000"/>
              <w:right w:val="nil"/>
            </w:tcBorders>
            <w:shd w:val="clear" w:color="auto" w:fill="auto"/>
            <w:noWrap/>
            <w:hideMark/>
          </w:tcPr>
          <w:p w14:paraId="279DB01E" w14:textId="62E98650"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C263A">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shd w:val="clear" w:color="auto" w:fill="auto"/>
            <w:noWrap/>
            <w:vAlign w:val="center"/>
            <w:hideMark/>
          </w:tcPr>
          <w:p w14:paraId="677A3D6C"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nil"/>
              <w:right w:val="single" w:sz="4" w:space="0" w:color="000000"/>
            </w:tcBorders>
            <w:shd w:val="clear" w:color="auto" w:fill="auto"/>
            <w:vAlign w:val="center"/>
            <w:hideMark/>
          </w:tcPr>
          <w:p w14:paraId="57933FDC"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Contribute to, support and where appropriate, with the agreements of the EIT KICs, lead any horizontal exploratory efforts towards securing co-funding opportunities, including matching KIC thematic area with the local RIS3 priorities / Number of horizontal efforts made</w:t>
            </w:r>
          </w:p>
        </w:tc>
        <w:tc>
          <w:tcPr>
            <w:tcW w:w="1796" w:type="dxa"/>
            <w:tcBorders>
              <w:top w:val="nil"/>
              <w:left w:val="nil"/>
              <w:bottom w:val="single" w:sz="4" w:space="0" w:color="000000"/>
              <w:right w:val="single" w:sz="4" w:space="0" w:color="000000"/>
            </w:tcBorders>
            <w:shd w:val="clear" w:color="auto" w:fill="FFFF00"/>
            <w:vAlign w:val="center"/>
            <w:hideMark/>
          </w:tcPr>
          <w:p w14:paraId="4705BCC7"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7D3B6FE3" w14:textId="77777777" w:rsidTr="1FCB43CC">
        <w:trPr>
          <w:trHeight w:val="405"/>
        </w:trPr>
        <w:tc>
          <w:tcPr>
            <w:tcW w:w="676" w:type="dxa"/>
            <w:tcBorders>
              <w:top w:val="nil"/>
              <w:left w:val="single" w:sz="4" w:space="0" w:color="000000"/>
              <w:bottom w:val="single" w:sz="4" w:space="0" w:color="000000"/>
              <w:right w:val="nil"/>
            </w:tcBorders>
            <w:shd w:val="clear" w:color="auto" w:fill="auto"/>
            <w:noWrap/>
            <w:hideMark/>
          </w:tcPr>
          <w:p w14:paraId="13AEB349" w14:textId="2FBCD285"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C263A">
              <w:rPr>
                <w:rFonts w:ascii="Aptos Narrow" w:eastAsia="Times New Roman" w:hAnsi="Aptos Narrow" w:cs="Times New Roman"/>
                <w:color w:val="6BB745"/>
                <w:sz w:val="14"/>
                <w:szCs w:val="14"/>
                <w:lang w:eastAsia="en-GB"/>
              </w:rPr>
              <w:lastRenderedPageBreak/>
              <w:t>YES</w:t>
            </w:r>
          </w:p>
        </w:tc>
        <w:tc>
          <w:tcPr>
            <w:tcW w:w="476" w:type="dxa"/>
            <w:tcBorders>
              <w:top w:val="nil"/>
              <w:left w:val="single" w:sz="4" w:space="0" w:color="000000"/>
              <w:bottom w:val="single" w:sz="4" w:space="0" w:color="000000"/>
              <w:right w:val="nil"/>
            </w:tcBorders>
            <w:shd w:val="clear" w:color="auto" w:fill="auto"/>
            <w:noWrap/>
            <w:vAlign w:val="center"/>
            <w:hideMark/>
          </w:tcPr>
          <w:p w14:paraId="3020A11B"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15B61"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Secure meetings with relevant national, regional authorities and facilitate the preparation for the submission of joint proposals for national, regional funding in case of general EIT Community actions / Number of proposal submission</w:t>
            </w:r>
          </w:p>
        </w:tc>
        <w:tc>
          <w:tcPr>
            <w:tcW w:w="1796" w:type="dxa"/>
            <w:tcBorders>
              <w:top w:val="nil"/>
              <w:left w:val="nil"/>
              <w:bottom w:val="single" w:sz="4" w:space="0" w:color="000000"/>
              <w:right w:val="single" w:sz="4" w:space="0" w:color="000000"/>
            </w:tcBorders>
            <w:shd w:val="clear" w:color="auto" w:fill="FFFF00"/>
            <w:vAlign w:val="center"/>
            <w:hideMark/>
          </w:tcPr>
          <w:p w14:paraId="70AB7885"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473AADCC" w14:textId="77777777" w:rsidTr="1FCB43CC">
        <w:trPr>
          <w:trHeight w:val="405"/>
        </w:trPr>
        <w:tc>
          <w:tcPr>
            <w:tcW w:w="676" w:type="dxa"/>
            <w:tcBorders>
              <w:top w:val="nil"/>
              <w:left w:val="single" w:sz="4" w:space="0" w:color="000000"/>
              <w:bottom w:val="single" w:sz="4" w:space="0" w:color="000000"/>
              <w:right w:val="nil"/>
            </w:tcBorders>
            <w:shd w:val="clear" w:color="auto" w:fill="auto"/>
            <w:noWrap/>
            <w:hideMark/>
          </w:tcPr>
          <w:p w14:paraId="6C40551E" w14:textId="62DCA6E0"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C263A">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shd w:val="clear" w:color="auto" w:fill="auto"/>
            <w:noWrap/>
            <w:vAlign w:val="center"/>
            <w:hideMark/>
          </w:tcPr>
          <w:p w14:paraId="7B0E5143"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nil"/>
              <w:left w:val="nil"/>
              <w:bottom w:val="nil"/>
              <w:right w:val="single" w:sz="4" w:space="0" w:color="000000"/>
            </w:tcBorders>
            <w:shd w:val="clear" w:color="auto" w:fill="auto"/>
            <w:vAlign w:val="center"/>
            <w:hideMark/>
          </w:tcPr>
          <w:p w14:paraId="6F5070CC"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Suggest and support, including, where appropriate and with the agreement of the EIT KICs, lead the implementation of possible joint activities amongst the EIT KICs, to be implemented nationally and, or regionally, aligned with relevant RIS3 priorities / Number of projects, activities implemented</w:t>
            </w:r>
          </w:p>
        </w:tc>
        <w:tc>
          <w:tcPr>
            <w:tcW w:w="1796" w:type="dxa"/>
            <w:tcBorders>
              <w:top w:val="nil"/>
              <w:left w:val="nil"/>
              <w:bottom w:val="single" w:sz="4" w:space="0" w:color="000000"/>
              <w:right w:val="single" w:sz="4" w:space="0" w:color="000000"/>
            </w:tcBorders>
            <w:shd w:val="clear" w:color="auto" w:fill="FFFF00"/>
            <w:vAlign w:val="center"/>
            <w:hideMark/>
          </w:tcPr>
          <w:p w14:paraId="7C042CE1"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3F86F029"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312A40E7" w14:textId="61B46F1A"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5432C4">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3D08B6EF"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125EC093"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580E8165"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000625BC"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36B82106" w14:textId="2D7DE5A7"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5432C4">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50D7ABA2"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nil"/>
              <w:right w:val="single" w:sz="4" w:space="0" w:color="000000"/>
            </w:tcBorders>
            <w:shd w:val="clear" w:color="auto" w:fill="FFFF00"/>
            <w:vAlign w:val="center"/>
            <w:hideMark/>
          </w:tcPr>
          <w:p w14:paraId="7CE0587D"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45AFB02A"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293CE6" w:rsidRPr="00293CE6" w14:paraId="33E5663B" w14:textId="77777777" w:rsidTr="1FCB43CC">
        <w:trPr>
          <w:trHeight w:val="600"/>
        </w:trPr>
        <w:tc>
          <w:tcPr>
            <w:tcW w:w="14284"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14:paraId="06E2550C" w14:textId="77777777" w:rsidR="00293CE6" w:rsidRPr="00293CE6" w:rsidRDefault="00293CE6" w:rsidP="00293CE6">
            <w:pPr>
              <w:spacing w:after="0" w:line="240" w:lineRule="auto"/>
              <w:jc w:val="center"/>
              <w:rPr>
                <w:rFonts w:ascii="Titillium" w:eastAsia="Times New Roman" w:hAnsi="Titillium" w:cs="Times New Roman"/>
                <w:color w:val="000000"/>
                <w:szCs w:val="20"/>
                <w:lang w:eastAsia="en-GB"/>
              </w:rPr>
            </w:pPr>
            <w:r w:rsidRPr="00293CE6">
              <w:rPr>
                <w:rFonts w:ascii="Titillium" w:eastAsia="Times New Roman" w:hAnsi="Titillium" w:cs="Times New Roman"/>
                <w:color w:val="000000"/>
                <w:szCs w:val="20"/>
                <w:lang w:eastAsia="en-GB"/>
              </w:rPr>
              <w:t xml:space="preserve">WP3 Activity descriptions </w:t>
            </w:r>
            <w:r w:rsidRPr="00293CE6">
              <w:rPr>
                <w:rFonts w:ascii="Titillium" w:eastAsia="Times New Roman" w:hAnsi="Titillium" w:cs="Times New Roman"/>
                <w:color w:val="000000"/>
                <w:szCs w:val="20"/>
                <w:lang w:eastAsia="en-GB"/>
              </w:rPr>
              <w:br/>
              <w:t>Please provide strategic approach, methodology and description of the activities</w:t>
            </w:r>
          </w:p>
        </w:tc>
      </w:tr>
      <w:tr w:rsidR="00293CE6" w:rsidRPr="00293CE6" w14:paraId="60EF3B6F" w14:textId="77777777" w:rsidTr="1FCB43CC">
        <w:trPr>
          <w:trHeight w:val="4005"/>
        </w:trPr>
        <w:tc>
          <w:tcPr>
            <w:tcW w:w="14284" w:type="dxa"/>
            <w:gridSpan w:val="9"/>
            <w:tcBorders>
              <w:top w:val="nil"/>
              <w:left w:val="single" w:sz="4" w:space="0" w:color="000000"/>
              <w:bottom w:val="single" w:sz="4" w:space="0" w:color="000000"/>
              <w:right w:val="single" w:sz="4" w:space="0" w:color="000000"/>
            </w:tcBorders>
            <w:shd w:val="clear" w:color="auto" w:fill="FFFF00"/>
            <w:noWrap/>
            <w:hideMark/>
          </w:tcPr>
          <w:p w14:paraId="028FC7C3" w14:textId="77777777" w:rsidR="00293CE6" w:rsidRPr="00293CE6" w:rsidRDefault="00293CE6" w:rsidP="00293CE6">
            <w:pPr>
              <w:spacing w:after="0" w:line="240" w:lineRule="auto"/>
              <w:rPr>
                <w:rFonts w:ascii="Aptos Narrow" w:eastAsia="Times New Roman" w:hAnsi="Aptos Narrow" w:cs="Times New Roman"/>
                <w:i/>
                <w:iCs/>
                <w:color w:val="000000"/>
                <w:sz w:val="22"/>
                <w:lang w:eastAsia="en-GB"/>
              </w:rPr>
            </w:pPr>
            <w:r w:rsidRPr="00293CE6">
              <w:rPr>
                <w:rFonts w:ascii="Aptos Narrow" w:eastAsia="Times New Roman" w:hAnsi="Aptos Narrow" w:cs="Times New Roman"/>
                <w:i/>
                <w:iCs/>
                <w:color w:val="000000"/>
                <w:sz w:val="22"/>
                <w:lang w:eastAsia="en-GB"/>
              </w:rPr>
              <w:t>[Max 1,000 words]</w:t>
            </w:r>
          </w:p>
        </w:tc>
      </w:tr>
      <w:tr w:rsidR="00293CE6" w:rsidRPr="00293CE6" w14:paraId="190D9F77" w14:textId="77777777" w:rsidTr="1FCB43CC">
        <w:trPr>
          <w:trHeight w:val="345"/>
        </w:trPr>
        <w:tc>
          <w:tcPr>
            <w:tcW w:w="14284" w:type="dxa"/>
            <w:gridSpan w:val="9"/>
            <w:tcBorders>
              <w:top w:val="nil"/>
              <w:left w:val="single" w:sz="4" w:space="0" w:color="000000"/>
              <w:bottom w:val="nil"/>
              <w:right w:val="nil"/>
            </w:tcBorders>
            <w:shd w:val="clear" w:color="auto" w:fill="034EA2" w:themeFill="text2"/>
            <w:vAlign w:val="center"/>
            <w:hideMark/>
          </w:tcPr>
          <w:p w14:paraId="54C808FC" w14:textId="77777777" w:rsidR="00293CE6" w:rsidRPr="00293CE6" w:rsidRDefault="00293CE6" w:rsidP="00293CE6">
            <w:pPr>
              <w:spacing w:after="0" w:line="240" w:lineRule="auto"/>
              <w:jc w:val="center"/>
              <w:rPr>
                <w:rFonts w:ascii="Titillium" w:eastAsia="Times New Roman" w:hAnsi="Titillium" w:cs="Times New Roman"/>
                <w:b/>
                <w:bCs/>
                <w:color w:val="FFFFFF"/>
                <w:szCs w:val="20"/>
                <w:lang w:eastAsia="en-GB"/>
              </w:rPr>
            </w:pPr>
            <w:r w:rsidRPr="00293CE6">
              <w:rPr>
                <w:rFonts w:ascii="Titillium" w:eastAsia="Times New Roman" w:hAnsi="Titillium" w:cs="Times New Roman"/>
                <w:b/>
                <w:bCs/>
                <w:color w:val="FFFFFF"/>
                <w:szCs w:val="20"/>
                <w:lang w:eastAsia="en-GB"/>
              </w:rPr>
              <w:t>Work Package 0</w:t>
            </w:r>
          </w:p>
        </w:tc>
      </w:tr>
      <w:tr w:rsidR="00293CE6" w:rsidRPr="00293CE6" w14:paraId="5881508E" w14:textId="77777777" w:rsidTr="1FCB43CC">
        <w:trPr>
          <w:trHeight w:val="345"/>
        </w:trPr>
        <w:tc>
          <w:tcPr>
            <w:tcW w:w="14284" w:type="dxa"/>
            <w:gridSpan w:val="9"/>
            <w:tcBorders>
              <w:top w:val="nil"/>
              <w:left w:val="single" w:sz="4" w:space="0" w:color="000000"/>
              <w:bottom w:val="nil"/>
              <w:right w:val="nil"/>
            </w:tcBorders>
            <w:shd w:val="clear" w:color="auto" w:fill="034EA2" w:themeFill="text2"/>
            <w:vAlign w:val="center"/>
            <w:hideMark/>
          </w:tcPr>
          <w:p w14:paraId="3AAB4BA2" w14:textId="23A7B236" w:rsidR="00293CE6" w:rsidRPr="00293CE6" w:rsidRDefault="69D3E196" w:rsidP="1FCB43CC">
            <w:pPr>
              <w:spacing w:after="0" w:line="240" w:lineRule="auto"/>
              <w:jc w:val="center"/>
              <w:rPr>
                <w:rFonts w:ascii="Titillium" w:eastAsia="Times New Roman" w:hAnsi="Titillium" w:cs="Times New Roman"/>
                <w:b/>
                <w:bCs/>
                <w:color w:val="FFFFFF"/>
                <w:lang w:eastAsia="en-GB"/>
              </w:rPr>
            </w:pPr>
            <w:r w:rsidRPr="1FCB43CC">
              <w:rPr>
                <w:rFonts w:ascii="Titillium" w:eastAsia="Times New Roman" w:hAnsi="Titillium" w:cs="Times New Roman"/>
                <w:b/>
                <w:bCs/>
                <w:color w:val="FFFFFF" w:themeColor="background1"/>
                <w:lang w:eastAsia="en-GB"/>
              </w:rPr>
              <w:t>Administration</w:t>
            </w:r>
            <w:r w:rsidR="79514AC1" w:rsidRPr="1FCB43CC">
              <w:rPr>
                <w:rFonts w:ascii="Titillium" w:eastAsia="Times New Roman" w:hAnsi="Titillium" w:cs="Times New Roman"/>
                <w:b/>
                <w:bCs/>
                <w:color w:val="FFFFFF" w:themeColor="background1"/>
                <w:lang w:eastAsia="en-GB"/>
              </w:rPr>
              <w:t xml:space="preserve"> and coordination</w:t>
            </w:r>
          </w:p>
        </w:tc>
      </w:tr>
      <w:tr w:rsidR="00317518" w:rsidRPr="00293CE6" w14:paraId="184B26A9" w14:textId="77777777" w:rsidTr="1FCB43CC">
        <w:trPr>
          <w:trHeight w:val="405"/>
        </w:trPr>
        <w:tc>
          <w:tcPr>
            <w:tcW w:w="676" w:type="dxa"/>
            <w:tcBorders>
              <w:top w:val="nil"/>
              <w:left w:val="single" w:sz="4" w:space="0" w:color="000000"/>
              <w:bottom w:val="single" w:sz="4" w:space="0" w:color="000000"/>
              <w:right w:val="nil"/>
            </w:tcBorders>
            <w:shd w:val="clear" w:color="auto" w:fill="auto"/>
            <w:noWrap/>
            <w:hideMark/>
          </w:tcPr>
          <w:p w14:paraId="73FC3518" w14:textId="5DF9F79D"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8DCDEF"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nil"/>
              <w:right w:val="single" w:sz="4" w:space="0" w:color="000000"/>
            </w:tcBorders>
            <w:shd w:val="clear" w:color="auto" w:fill="auto"/>
            <w:vAlign w:val="center"/>
            <w:hideMark/>
          </w:tcPr>
          <w:p w14:paraId="3422192D"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Set up and maintain a physical space branded / Number of physical space established and maintained</w:t>
            </w:r>
          </w:p>
        </w:tc>
        <w:tc>
          <w:tcPr>
            <w:tcW w:w="1796" w:type="dxa"/>
            <w:tcBorders>
              <w:top w:val="single" w:sz="4" w:space="0" w:color="000000"/>
              <w:left w:val="nil"/>
              <w:bottom w:val="single" w:sz="4" w:space="0" w:color="000000"/>
              <w:right w:val="single" w:sz="4" w:space="0" w:color="000000"/>
            </w:tcBorders>
            <w:shd w:val="clear" w:color="auto" w:fill="FFFF00"/>
            <w:vAlign w:val="center"/>
            <w:hideMark/>
          </w:tcPr>
          <w:p w14:paraId="1B2C948A"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2C2BFF1F" w14:textId="77777777" w:rsidTr="1FCB43CC">
        <w:trPr>
          <w:trHeight w:val="405"/>
        </w:trPr>
        <w:tc>
          <w:tcPr>
            <w:tcW w:w="676" w:type="dxa"/>
            <w:tcBorders>
              <w:top w:val="nil"/>
              <w:left w:val="single" w:sz="4" w:space="0" w:color="000000"/>
              <w:bottom w:val="single" w:sz="4" w:space="0" w:color="000000"/>
              <w:right w:val="nil"/>
            </w:tcBorders>
            <w:shd w:val="clear" w:color="auto" w:fill="auto"/>
            <w:noWrap/>
            <w:hideMark/>
          </w:tcPr>
          <w:p w14:paraId="1616E189" w14:textId="7FFA7BBA"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single" w:sz="4" w:space="0" w:color="000000"/>
              <w:bottom w:val="single" w:sz="4" w:space="0" w:color="000000"/>
              <w:right w:val="single" w:sz="4" w:space="0" w:color="000000"/>
            </w:tcBorders>
            <w:shd w:val="clear" w:color="auto" w:fill="auto"/>
            <w:noWrap/>
            <w:vAlign w:val="center"/>
            <w:hideMark/>
          </w:tcPr>
          <w:p w14:paraId="06D70AD5"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02C73A7D"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Develop a good understanding of the EIT model and keep up-to-date with the KICs activities</w:t>
            </w:r>
          </w:p>
        </w:tc>
        <w:tc>
          <w:tcPr>
            <w:tcW w:w="1796" w:type="dxa"/>
            <w:tcBorders>
              <w:top w:val="nil"/>
              <w:left w:val="nil"/>
              <w:bottom w:val="single" w:sz="4" w:space="0" w:color="000000"/>
              <w:right w:val="single" w:sz="4" w:space="0" w:color="000000"/>
            </w:tcBorders>
            <w:shd w:val="clear" w:color="auto" w:fill="E8E8E8"/>
            <w:vAlign w:val="center"/>
            <w:hideMark/>
          </w:tcPr>
          <w:p w14:paraId="301B8E39"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317518" w:rsidRPr="00293CE6" w14:paraId="1879F031"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2EE70DA6" w14:textId="36D95C36"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7103546C"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27CA9923"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Collaborate closely with the wider network of EIT Community Officers including by sharing information, good practices, collaborating on joint initiatives as well as any other activities which would support the EIT Community and the local innovation ecosystem</w:t>
            </w:r>
          </w:p>
        </w:tc>
        <w:tc>
          <w:tcPr>
            <w:tcW w:w="1796" w:type="dxa"/>
            <w:tcBorders>
              <w:top w:val="nil"/>
              <w:left w:val="nil"/>
              <w:bottom w:val="single" w:sz="4" w:space="0" w:color="000000"/>
              <w:right w:val="single" w:sz="4" w:space="0" w:color="000000"/>
            </w:tcBorders>
            <w:shd w:val="clear" w:color="auto" w:fill="E8E8E8"/>
            <w:vAlign w:val="center"/>
            <w:hideMark/>
          </w:tcPr>
          <w:p w14:paraId="2261AEC1"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317518" w:rsidRPr="00293CE6" w14:paraId="68725D95"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1900459F" w14:textId="3C9371FA"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3A7B929E"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31B49788"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Form good working relations with the whole EIT Community, including the SRI Cluster and Community Members</w:t>
            </w:r>
          </w:p>
        </w:tc>
        <w:tc>
          <w:tcPr>
            <w:tcW w:w="1796" w:type="dxa"/>
            <w:tcBorders>
              <w:top w:val="nil"/>
              <w:left w:val="nil"/>
              <w:bottom w:val="single" w:sz="4" w:space="0" w:color="000000"/>
              <w:right w:val="single" w:sz="4" w:space="0" w:color="000000"/>
            </w:tcBorders>
            <w:shd w:val="clear" w:color="auto" w:fill="E8E8E8"/>
            <w:vAlign w:val="center"/>
            <w:hideMark/>
          </w:tcPr>
          <w:p w14:paraId="782617F7"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317518" w:rsidRPr="00293CE6" w14:paraId="31D77F52"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067D0AE7" w14:textId="2BC621DB"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0617F75E"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60799482"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Review and report to the EIT Community Officer Coordinator via the Lead KIC SPOC of the EIT Community Officer </w:t>
            </w:r>
          </w:p>
        </w:tc>
        <w:tc>
          <w:tcPr>
            <w:tcW w:w="1796" w:type="dxa"/>
            <w:tcBorders>
              <w:top w:val="nil"/>
              <w:left w:val="nil"/>
              <w:bottom w:val="single" w:sz="4" w:space="0" w:color="000000"/>
              <w:right w:val="single" w:sz="4" w:space="0" w:color="000000"/>
            </w:tcBorders>
            <w:shd w:val="clear" w:color="auto" w:fill="E8E8E8"/>
            <w:vAlign w:val="center"/>
            <w:hideMark/>
          </w:tcPr>
          <w:p w14:paraId="33432461"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317518" w:rsidRPr="00293CE6" w14:paraId="5CD0A23A"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333C3DB6" w14:textId="02B508C1"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lastRenderedPageBreak/>
              <w:t>YES</w:t>
            </w:r>
          </w:p>
        </w:tc>
        <w:tc>
          <w:tcPr>
            <w:tcW w:w="476" w:type="dxa"/>
            <w:tcBorders>
              <w:top w:val="nil"/>
              <w:left w:val="nil"/>
              <w:bottom w:val="single" w:sz="4" w:space="0" w:color="000000"/>
              <w:right w:val="single" w:sz="4" w:space="0" w:color="000000"/>
            </w:tcBorders>
            <w:shd w:val="clear" w:color="auto" w:fill="auto"/>
            <w:noWrap/>
            <w:vAlign w:val="center"/>
            <w:hideMark/>
          </w:tcPr>
          <w:p w14:paraId="29184F8D"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24B0A54C"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Any other tasks mandated by the EIT Management which, in principle, supports the EIT RIS Hubs to contribute to the achievement of the EIT’s Objectives and implementation of its Strategy and Annual Work Programmes</w:t>
            </w:r>
          </w:p>
        </w:tc>
        <w:tc>
          <w:tcPr>
            <w:tcW w:w="1796" w:type="dxa"/>
            <w:tcBorders>
              <w:top w:val="nil"/>
              <w:left w:val="nil"/>
              <w:bottom w:val="single" w:sz="4" w:space="0" w:color="000000"/>
              <w:right w:val="single" w:sz="4" w:space="0" w:color="000000"/>
            </w:tcBorders>
            <w:shd w:val="clear" w:color="auto" w:fill="E8E8E8"/>
            <w:vAlign w:val="center"/>
            <w:hideMark/>
          </w:tcPr>
          <w:p w14:paraId="27C21C9E"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317518" w:rsidRPr="00293CE6" w14:paraId="6D186B96" w14:textId="77777777" w:rsidTr="1FCB43CC">
        <w:trPr>
          <w:trHeight w:val="315"/>
        </w:trPr>
        <w:tc>
          <w:tcPr>
            <w:tcW w:w="14284" w:type="dxa"/>
            <w:gridSpan w:val="9"/>
            <w:tcBorders>
              <w:top w:val="nil"/>
              <w:left w:val="single" w:sz="4" w:space="0" w:color="000000"/>
              <w:bottom w:val="nil"/>
              <w:right w:val="nil"/>
            </w:tcBorders>
            <w:shd w:val="clear" w:color="auto" w:fill="034EA2" w:themeFill="text2"/>
            <w:hideMark/>
          </w:tcPr>
          <w:p w14:paraId="4AEC7A30" w14:textId="636F19FB" w:rsidR="00317518" w:rsidRPr="00293CE6" w:rsidRDefault="00317518" w:rsidP="00317518">
            <w:pPr>
              <w:spacing w:after="0" w:line="240" w:lineRule="auto"/>
              <w:jc w:val="center"/>
              <w:rPr>
                <w:rFonts w:ascii="Titillium" w:eastAsia="Times New Roman" w:hAnsi="Titillium" w:cs="Times New Roman"/>
                <w:b/>
                <w:bCs/>
                <w:color w:val="FFFFFF"/>
                <w:szCs w:val="20"/>
                <w:lang w:eastAsia="en-GB"/>
              </w:rPr>
            </w:pPr>
            <w:r w:rsidRPr="00730745">
              <w:rPr>
                <w:rFonts w:ascii="Aptos Narrow" w:eastAsia="Times New Roman" w:hAnsi="Aptos Narrow" w:cs="Times New Roman"/>
                <w:color w:val="6BB745"/>
                <w:sz w:val="14"/>
                <w:szCs w:val="14"/>
                <w:lang w:eastAsia="en-GB"/>
              </w:rPr>
              <w:t>YES</w:t>
            </w:r>
          </w:p>
        </w:tc>
      </w:tr>
      <w:tr w:rsidR="00317518" w:rsidRPr="00293CE6" w14:paraId="3644AF12"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5CE445C3" w14:textId="3A04451C"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single" w:sz="4" w:space="0" w:color="000000"/>
              <w:left w:val="nil"/>
              <w:bottom w:val="single" w:sz="4" w:space="0" w:color="000000"/>
              <w:right w:val="single" w:sz="4" w:space="0" w:color="000000"/>
            </w:tcBorders>
            <w:shd w:val="clear" w:color="auto" w:fill="auto"/>
            <w:noWrap/>
            <w:vAlign w:val="center"/>
            <w:hideMark/>
          </w:tcPr>
          <w:p w14:paraId="3C5535D0"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2BFE3C96"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EIT Community coordination - Deploy and keep up-to-date the Governance Memorandum of Understanding of the EIT Community Hub that sets up the working relations with all Members of the EIT Community Hub, including other EIT KIC Offices present in the same ecosystem nationally; </w:t>
            </w:r>
          </w:p>
        </w:tc>
        <w:tc>
          <w:tcPr>
            <w:tcW w:w="1796" w:type="dxa"/>
            <w:tcBorders>
              <w:top w:val="nil"/>
              <w:left w:val="nil"/>
              <w:bottom w:val="single" w:sz="4" w:space="0" w:color="000000"/>
              <w:right w:val="single" w:sz="4" w:space="0" w:color="000000"/>
            </w:tcBorders>
            <w:shd w:val="clear" w:color="auto" w:fill="E8E8E8"/>
            <w:vAlign w:val="center"/>
            <w:hideMark/>
          </w:tcPr>
          <w:p w14:paraId="53672008"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317518" w:rsidRPr="00293CE6" w14:paraId="37003FEE"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03FD090E" w14:textId="25D65ED6"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1D510474"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4824899E"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EIT Community coordination - Establish working method which limits administrative burdens, while supporting their minimum functions; Design a work method, necessary tools for information sharing/coordination so as to facilitate continuous information exchange, identify the need for, facilitating the implementation of shared services for Hub Members with a view to improve efficiency; </w:t>
            </w:r>
          </w:p>
        </w:tc>
        <w:tc>
          <w:tcPr>
            <w:tcW w:w="1796" w:type="dxa"/>
            <w:tcBorders>
              <w:top w:val="nil"/>
              <w:left w:val="nil"/>
              <w:bottom w:val="single" w:sz="4" w:space="0" w:color="000000"/>
              <w:right w:val="single" w:sz="4" w:space="0" w:color="000000"/>
            </w:tcBorders>
            <w:shd w:val="clear" w:color="auto" w:fill="E8E8E8"/>
            <w:vAlign w:val="center"/>
            <w:hideMark/>
          </w:tcPr>
          <w:p w14:paraId="3CC04412"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317518" w:rsidRPr="00293CE6" w14:paraId="2867395E"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1FA15BB0" w14:textId="3B43C9E5"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0C473AB2"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23A36448"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EIT Community coordination - To the greatest extent possible, and when appropriate, ensure a coordinated approach amongst the EIT KICs, Members of the EIT Community Hub, and other EIT KIC Offices, EIT Alumni Network towards national authorities including relevant NCPs and Managing Authorities; </w:t>
            </w:r>
          </w:p>
        </w:tc>
        <w:tc>
          <w:tcPr>
            <w:tcW w:w="1796" w:type="dxa"/>
            <w:tcBorders>
              <w:top w:val="nil"/>
              <w:left w:val="nil"/>
              <w:bottom w:val="single" w:sz="4" w:space="0" w:color="000000"/>
              <w:right w:val="single" w:sz="4" w:space="0" w:color="000000"/>
            </w:tcBorders>
            <w:shd w:val="clear" w:color="auto" w:fill="E8E8E8"/>
            <w:vAlign w:val="center"/>
            <w:hideMark/>
          </w:tcPr>
          <w:p w14:paraId="4E4AD8AD"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317518" w:rsidRPr="00293CE6" w14:paraId="4E3DAF96"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1B10A0CB" w14:textId="04C08523"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67F556D2"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4A10B6A4"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EIT Community coordination - Facilitate and coordinate EIT Community branding efforts, sharing information and advising KICs and Community Members. </w:t>
            </w:r>
          </w:p>
        </w:tc>
        <w:tc>
          <w:tcPr>
            <w:tcW w:w="1796" w:type="dxa"/>
            <w:tcBorders>
              <w:top w:val="nil"/>
              <w:left w:val="nil"/>
              <w:bottom w:val="single" w:sz="4" w:space="0" w:color="000000"/>
              <w:right w:val="single" w:sz="4" w:space="0" w:color="000000"/>
            </w:tcBorders>
            <w:shd w:val="clear" w:color="auto" w:fill="E8E8E8"/>
            <w:vAlign w:val="center"/>
            <w:hideMark/>
          </w:tcPr>
          <w:p w14:paraId="7E3B912F"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317518" w:rsidRPr="00293CE6" w14:paraId="1F6038F6"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2F85DC8B" w14:textId="315D51CE"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3D6A8C2D"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3B905F5B"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Intelligence Gathering - Provide support, in close cooperation with other Hub Members and potentially other EIT Community Officers, to the EIT and the EIT KICs with navigating the local innovation landscape. </w:t>
            </w:r>
          </w:p>
        </w:tc>
        <w:tc>
          <w:tcPr>
            <w:tcW w:w="1796" w:type="dxa"/>
            <w:tcBorders>
              <w:top w:val="nil"/>
              <w:left w:val="nil"/>
              <w:bottom w:val="single" w:sz="4" w:space="0" w:color="000000"/>
              <w:right w:val="single" w:sz="4" w:space="0" w:color="000000"/>
            </w:tcBorders>
            <w:shd w:val="clear" w:color="auto" w:fill="E8E8E8"/>
            <w:vAlign w:val="center"/>
            <w:hideMark/>
          </w:tcPr>
          <w:p w14:paraId="2CA70B10"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317518" w:rsidRPr="00293CE6" w14:paraId="159EBCB9"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4975E82B" w14:textId="09DDD864"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4B58994E"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20FE1D74"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Intelligence Gathering - At the request of the EIT KICs, support any necessary updating of the local Country‐specific roadmap and support with its implementation, as appropriate</w:t>
            </w:r>
          </w:p>
        </w:tc>
        <w:tc>
          <w:tcPr>
            <w:tcW w:w="1796" w:type="dxa"/>
            <w:tcBorders>
              <w:top w:val="nil"/>
              <w:left w:val="nil"/>
              <w:bottom w:val="single" w:sz="4" w:space="0" w:color="000000"/>
              <w:right w:val="single" w:sz="4" w:space="0" w:color="000000"/>
            </w:tcBorders>
            <w:shd w:val="clear" w:color="auto" w:fill="E8E8E8"/>
            <w:vAlign w:val="center"/>
            <w:hideMark/>
          </w:tcPr>
          <w:p w14:paraId="4FBCB5FE"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317518" w:rsidRPr="00293CE6" w14:paraId="077F15DF"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05BACAD2" w14:textId="3F791FE8"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6A0383F2"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23E9DAD2"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Intelligence Gathering - Maintain a fully updated understanding of the local innovation ecosystem, including its innovation needs and gaps / Number of ecosystem map</w:t>
            </w:r>
          </w:p>
        </w:tc>
        <w:tc>
          <w:tcPr>
            <w:tcW w:w="1796" w:type="dxa"/>
            <w:tcBorders>
              <w:top w:val="nil"/>
              <w:left w:val="nil"/>
              <w:bottom w:val="single" w:sz="4" w:space="0" w:color="000000"/>
              <w:right w:val="single" w:sz="4" w:space="0" w:color="000000"/>
            </w:tcBorders>
            <w:shd w:val="clear" w:color="auto" w:fill="FFFF00"/>
            <w:vAlign w:val="center"/>
            <w:hideMark/>
          </w:tcPr>
          <w:p w14:paraId="5D7C6016"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277EB52D"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3176B260" w14:textId="6DBD4BBA"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31A5E6B7"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4490CC27"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Intelligence Gathering - Coordinate the collection of local funding opportunities and relevant key national events and bring these to the attention to the EIT KICs, the Members of the EIT Community Hub Members, and other EIT KIC Offices; / Number of local funding opportunities and relevant national key events collected.</w:t>
            </w:r>
          </w:p>
        </w:tc>
        <w:tc>
          <w:tcPr>
            <w:tcW w:w="1796" w:type="dxa"/>
            <w:tcBorders>
              <w:top w:val="nil"/>
              <w:left w:val="nil"/>
              <w:bottom w:val="single" w:sz="4" w:space="0" w:color="000000"/>
              <w:right w:val="single" w:sz="4" w:space="0" w:color="000000"/>
            </w:tcBorders>
            <w:shd w:val="clear" w:color="auto" w:fill="FFFF00"/>
            <w:vAlign w:val="center"/>
            <w:hideMark/>
          </w:tcPr>
          <w:p w14:paraId="01F4CD90"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752E73C3"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42F94B1A" w14:textId="67B233F8"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70C3076C"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0500B86B"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Relationships - Build a strong working relationship with NCP and national authorities, in order to highlight to the national authorities, the added value of the EIT, and influencing the national position in FP10 negotiations / Number of engagements with national authorities</w:t>
            </w:r>
          </w:p>
        </w:tc>
        <w:tc>
          <w:tcPr>
            <w:tcW w:w="1796" w:type="dxa"/>
            <w:tcBorders>
              <w:top w:val="nil"/>
              <w:left w:val="nil"/>
              <w:bottom w:val="single" w:sz="4" w:space="0" w:color="000000"/>
              <w:right w:val="single" w:sz="4" w:space="0" w:color="000000"/>
            </w:tcBorders>
            <w:shd w:val="clear" w:color="auto" w:fill="FFFF00"/>
            <w:vAlign w:val="center"/>
            <w:hideMark/>
          </w:tcPr>
          <w:p w14:paraId="07AF8FDB"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3D2D1BDF"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121BEA51" w14:textId="746C75CE"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53F8DD3F"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0D4CA018"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Relationships - Liaise with representatives of other innovation support actions (COST, EEN, EUREKA, EIT Alumni, EPO, EUIPO, RCC, etc.) / Number of engagements with other EU support actions</w:t>
            </w:r>
          </w:p>
        </w:tc>
        <w:tc>
          <w:tcPr>
            <w:tcW w:w="1796" w:type="dxa"/>
            <w:tcBorders>
              <w:top w:val="nil"/>
              <w:left w:val="nil"/>
              <w:bottom w:val="single" w:sz="4" w:space="0" w:color="000000"/>
              <w:right w:val="single" w:sz="4" w:space="0" w:color="000000"/>
            </w:tcBorders>
            <w:shd w:val="clear" w:color="auto" w:fill="FFFF00"/>
            <w:vAlign w:val="center"/>
            <w:hideMark/>
          </w:tcPr>
          <w:p w14:paraId="4FA662E7"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293CE6" w:rsidRPr="00293CE6" w14:paraId="1AE925FA"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vAlign w:val="center"/>
            <w:hideMark/>
          </w:tcPr>
          <w:p w14:paraId="06931FB1" w14:textId="6BE1852D" w:rsidR="00293CE6" w:rsidRPr="00293CE6" w:rsidRDefault="00CE7402" w:rsidP="00293CE6">
            <w:pPr>
              <w:spacing w:after="0" w:line="240" w:lineRule="auto"/>
              <w:jc w:val="center"/>
              <w:rPr>
                <w:rFonts w:ascii="Aptos Narrow" w:eastAsia="Times New Roman" w:hAnsi="Aptos Narrow" w:cs="Times New Roman"/>
                <w:color w:val="6BB745"/>
                <w:sz w:val="22"/>
                <w:lang w:eastAsia="en-GB"/>
              </w:rPr>
            </w:pPr>
            <w:r w:rsidRPr="00730745">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55338F6F" w14:textId="18BB0FDB" w:rsidR="00293CE6" w:rsidRPr="00293CE6" w:rsidRDefault="00CE7402" w:rsidP="00293CE6">
            <w:pPr>
              <w:spacing w:after="0" w:line="240" w:lineRule="auto"/>
              <w:jc w:val="center"/>
              <w:rPr>
                <w:rFonts w:ascii="Aptos Narrow" w:eastAsia="Times New Roman" w:hAnsi="Aptos Narrow" w:cs="Times New Roman"/>
                <w:color w:val="000000"/>
                <w:sz w:val="22"/>
                <w:lang w:eastAsia="en-GB"/>
              </w:rPr>
            </w:pPr>
            <w:r>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36126FC3" w14:textId="77777777" w:rsidR="00293CE6" w:rsidRPr="00293CE6" w:rsidRDefault="00293CE6" w:rsidP="00293CE6">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Local Relationships -  Build strong working relationship with key local innovation stakeholders / Number of Cooperation </w:t>
            </w:r>
            <w:proofErr w:type="spellStart"/>
            <w:r w:rsidRPr="00293CE6">
              <w:rPr>
                <w:rFonts w:ascii="Titillium" w:eastAsia="Times New Roman" w:hAnsi="Titillium" w:cs="Times New Roman"/>
                <w:color w:val="000000"/>
                <w:sz w:val="16"/>
                <w:szCs w:val="16"/>
                <w:lang w:eastAsia="en-GB"/>
              </w:rPr>
              <w:t>MoUs</w:t>
            </w:r>
            <w:proofErr w:type="spellEnd"/>
            <w:r w:rsidRPr="00293CE6">
              <w:rPr>
                <w:rFonts w:ascii="Titillium" w:eastAsia="Times New Roman" w:hAnsi="Titillium" w:cs="Times New Roman"/>
                <w:color w:val="000000"/>
                <w:sz w:val="16"/>
                <w:szCs w:val="16"/>
                <w:lang w:eastAsia="en-GB"/>
              </w:rPr>
              <w:t xml:space="preserve"> signed</w:t>
            </w:r>
          </w:p>
        </w:tc>
        <w:tc>
          <w:tcPr>
            <w:tcW w:w="1796" w:type="dxa"/>
            <w:tcBorders>
              <w:top w:val="nil"/>
              <w:left w:val="nil"/>
              <w:bottom w:val="single" w:sz="4" w:space="0" w:color="000000"/>
              <w:right w:val="single" w:sz="4" w:space="0" w:color="000000"/>
            </w:tcBorders>
            <w:shd w:val="clear" w:color="auto" w:fill="FFFF00"/>
            <w:vAlign w:val="center"/>
            <w:hideMark/>
          </w:tcPr>
          <w:p w14:paraId="7C566EE4" w14:textId="77777777" w:rsidR="00293CE6" w:rsidRPr="00293CE6" w:rsidRDefault="00293CE6" w:rsidP="00293CE6">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27DF809B"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7D62B91D" w14:textId="139EF5D0"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CC7102">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4F6490CF"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60143807"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Relationships - Participate in national policy dialogues in relation to the knowledge triangle  / Number of dialogues, meetings participated with national authorities</w:t>
            </w:r>
          </w:p>
        </w:tc>
        <w:tc>
          <w:tcPr>
            <w:tcW w:w="1796" w:type="dxa"/>
            <w:tcBorders>
              <w:top w:val="nil"/>
              <w:left w:val="nil"/>
              <w:bottom w:val="single" w:sz="4" w:space="0" w:color="000000"/>
              <w:right w:val="single" w:sz="4" w:space="0" w:color="000000"/>
            </w:tcBorders>
            <w:shd w:val="clear" w:color="auto" w:fill="FFFF00"/>
            <w:vAlign w:val="center"/>
            <w:hideMark/>
          </w:tcPr>
          <w:p w14:paraId="02B654CA"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38F95C40"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44558F21" w14:textId="09382349"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CC7102">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2160C726"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18C4AE56"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Local Intelligence Gathering - Provide data on the local EIT-supported start-ups’ development (such as new customers, external funding obtained etc.)  / Number of startups for which data s provided</w:t>
            </w:r>
          </w:p>
        </w:tc>
        <w:tc>
          <w:tcPr>
            <w:tcW w:w="1796" w:type="dxa"/>
            <w:tcBorders>
              <w:top w:val="nil"/>
              <w:left w:val="nil"/>
              <w:bottom w:val="single" w:sz="4" w:space="0" w:color="000000"/>
              <w:right w:val="single" w:sz="4" w:space="0" w:color="000000"/>
            </w:tcBorders>
            <w:shd w:val="clear" w:color="auto" w:fill="FFFF00"/>
            <w:vAlign w:val="center"/>
            <w:hideMark/>
          </w:tcPr>
          <w:p w14:paraId="4C60CF31"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20E14B63"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5154C7BC" w14:textId="406FDF9C"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CC7102">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3C7F51E3"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FFFF00"/>
            <w:vAlign w:val="center"/>
            <w:hideMark/>
          </w:tcPr>
          <w:p w14:paraId="7B753C17"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5B8F3B42"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030AFA37"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7E15EAD4" w14:textId="6AA06244"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CC7102">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29DECD5D"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FFFF00"/>
            <w:vAlign w:val="center"/>
            <w:hideMark/>
          </w:tcPr>
          <w:p w14:paraId="6379367C"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3C2C1AC0"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293CE6" w:rsidRPr="00293CE6" w14:paraId="1259C98D" w14:textId="77777777" w:rsidTr="1FCB43CC">
        <w:trPr>
          <w:trHeight w:val="300"/>
        </w:trPr>
        <w:tc>
          <w:tcPr>
            <w:tcW w:w="14284" w:type="dxa"/>
            <w:gridSpan w:val="9"/>
            <w:tcBorders>
              <w:top w:val="nil"/>
              <w:left w:val="single" w:sz="4" w:space="0" w:color="000000"/>
              <w:bottom w:val="nil"/>
              <w:right w:val="nil"/>
            </w:tcBorders>
            <w:shd w:val="clear" w:color="auto" w:fill="034EA2" w:themeFill="text2"/>
            <w:vAlign w:val="center"/>
            <w:hideMark/>
          </w:tcPr>
          <w:p w14:paraId="572DC7E0" w14:textId="77777777" w:rsidR="00293CE6" w:rsidRPr="00293CE6" w:rsidRDefault="00293CE6" w:rsidP="00293CE6">
            <w:pPr>
              <w:spacing w:after="0" w:line="240" w:lineRule="auto"/>
              <w:jc w:val="center"/>
              <w:rPr>
                <w:rFonts w:ascii="Titillium" w:eastAsia="Times New Roman" w:hAnsi="Titillium" w:cs="Times New Roman"/>
                <w:b/>
                <w:bCs/>
                <w:color w:val="FFFFFF"/>
                <w:szCs w:val="20"/>
                <w:lang w:eastAsia="en-GB"/>
              </w:rPr>
            </w:pPr>
            <w:r w:rsidRPr="00293CE6">
              <w:rPr>
                <w:rFonts w:ascii="Titillium" w:eastAsia="Times New Roman" w:hAnsi="Titillium" w:cs="Times New Roman"/>
                <w:b/>
                <w:bCs/>
                <w:color w:val="FFFFFF"/>
                <w:szCs w:val="20"/>
                <w:lang w:eastAsia="en-GB"/>
              </w:rPr>
              <w:t>Communication</w:t>
            </w:r>
          </w:p>
        </w:tc>
      </w:tr>
      <w:tr w:rsidR="00CE7402" w:rsidRPr="00293CE6" w14:paraId="768DBE10"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1995E34B" w14:textId="1AC8617C" w:rsidR="00CE7402" w:rsidRPr="00293CE6" w:rsidRDefault="00CE7402" w:rsidP="00CE7402">
            <w:pPr>
              <w:spacing w:after="0" w:line="240" w:lineRule="auto"/>
              <w:jc w:val="center"/>
              <w:rPr>
                <w:rFonts w:ascii="Aptos Narrow" w:eastAsia="Times New Roman" w:hAnsi="Aptos Narrow" w:cs="Times New Roman"/>
                <w:color w:val="6BB745"/>
                <w:sz w:val="22"/>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single" w:sz="4" w:space="0" w:color="000000"/>
              <w:left w:val="nil"/>
              <w:bottom w:val="single" w:sz="4" w:space="0" w:color="000000"/>
              <w:right w:val="single" w:sz="4" w:space="0" w:color="000000"/>
            </w:tcBorders>
            <w:shd w:val="clear" w:color="auto" w:fill="auto"/>
            <w:noWrap/>
            <w:vAlign w:val="center"/>
            <w:hideMark/>
          </w:tcPr>
          <w:p w14:paraId="263D6926" w14:textId="77777777" w:rsidR="00CE7402" w:rsidRPr="00293CE6" w:rsidRDefault="00CE7402" w:rsidP="00CE7402">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1CF7936D" w14:textId="77777777" w:rsidR="00CE7402" w:rsidRPr="00293CE6" w:rsidRDefault="00CE7402" w:rsidP="00CE7402">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Collect information to share through applicable channels related to the EIT KICs’ activities, events, results and opportunities of interest to local stakeholders with a view to their dissemination internally and externally;</w:t>
            </w:r>
          </w:p>
        </w:tc>
        <w:tc>
          <w:tcPr>
            <w:tcW w:w="1796" w:type="dxa"/>
            <w:tcBorders>
              <w:top w:val="nil"/>
              <w:left w:val="nil"/>
              <w:bottom w:val="single" w:sz="4" w:space="0" w:color="000000"/>
              <w:right w:val="single" w:sz="4" w:space="0" w:color="000000"/>
            </w:tcBorders>
            <w:shd w:val="clear" w:color="auto" w:fill="E8E8E8"/>
            <w:vAlign w:val="center"/>
            <w:hideMark/>
          </w:tcPr>
          <w:p w14:paraId="60DF6E0C" w14:textId="77777777" w:rsidR="00CE7402" w:rsidRPr="00293CE6" w:rsidRDefault="00CE7402" w:rsidP="00CE7402">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CE7402" w:rsidRPr="00293CE6" w14:paraId="15FBC657"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36C167BF" w14:textId="735B121A" w:rsidR="00CE7402" w:rsidRPr="00293CE6" w:rsidRDefault="00CE7402" w:rsidP="00CE7402">
            <w:pPr>
              <w:spacing w:after="0" w:line="240" w:lineRule="auto"/>
              <w:jc w:val="center"/>
              <w:rPr>
                <w:rFonts w:ascii="Aptos Narrow" w:eastAsia="Times New Roman" w:hAnsi="Aptos Narrow" w:cs="Times New Roman"/>
                <w:color w:val="6BB745"/>
                <w:sz w:val="22"/>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34B5CEA6" w14:textId="77777777" w:rsidR="00CE7402" w:rsidRPr="00293CE6" w:rsidRDefault="00CE7402" w:rsidP="00CE7402">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3DC57BFD" w14:textId="77777777" w:rsidR="00CE7402" w:rsidRPr="00293CE6" w:rsidRDefault="00CE7402" w:rsidP="00CE7402">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Coordinate and support local joint EIT Community communication efforts, including by managing the EIT Community Hub country webpage / Number of visitors of the EIT Community Hub country webpage</w:t>
            </w:r>
          </w:p>
        </w:tc>
        <w:tc>
          <w:tcPr>
            <w:tcW w:w="1796" w:type="dxa"/>
            <w:tcBorders>
              <w:top w:val="nil"/>
              <w:left w:val="nil"/>
              <w:bottom w:val="single" w:sz="4" w:space="0" w:color="000000"/>
              <w:right w:val="single" w:sz="4" w:space="0" w:color="000000"/>
            </w:tcBorders>
            <w:shd w:val="clear" w:color="auto" w:fill="FFFF00"/>
            <w:vAlign w:val="center"/>
            <w:hideMark/>
          </w:tcPr>
          <w:p w14:paraId="5C326FE7" w14:textId="77777777" w:rsidR="00CE7402" w:rsidRPr="00293CE6" w:rsidRDefault="00CE7402" w:rsidP="00CE7402">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CE7402" w:rsidRPr="00293CE6" w14:paraId="5F348B0E"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76F4ADC7" w14:textId="2F5CC1B1" w:rsidR="00CE7402" w:rsidRPr="00293CE6" w:rsidRDefault="00CE7402" w:rsidP="00CE7402">
            <w:pPr>
              <w:spacing w:after="0" w:line="240" w:lineRule="auto"/>
              <w:jc w:val="center"/>
              <w:rPr>
                <w:rFonts w:ascii="Aptos Narrow" w:eastAsia="Times New Roman" w:hAnsi="Aptos Narrow" w:cs="Times New Roman"/>
                <w:color w:val="6BB745"/>
                <w:sz w:val="22"/>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23BB91A6" w14:textId="77777777" w:rsidR="00CE7402" w:rsidRPr="00293CE6" w:rsidRDefault="00CE7402" w:rsidP="00CE7402">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6DCF4593" w14:textId="77777777" w:rsidR="00CE7402" w:rsidRPr="00293CE6" w:rsidRDefault="00CE7402" w:rsidP="00CE7402">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Update the EIT Community Hub country webpage, in the local language, with information on EIT Community activities and opportunities / Number of EIT Community Hub country webpage updates</w:t>
            </w:r>
          </w:p>
        </w:tc>
        <w:tc>
          <w:tcPr>
            <w:tcW w:w="1796" w:type="dxa"/>
            <w:tcBorders>
              <w:top w:val="nil"/>
              <w:left w:val="nil"/>
              <w:bottom w:val="single" w:sz="4" w:space="0" w:color="000000"/>
              <w:right w:val="single" w:sz="4" w:space="0" w:color="000000"/>
            </w:tcBorders>
            <w:shd w:val="clear" w:color="auto" w:fill="FFFF00"/>
            <w:vAlign w:val="center"/>
            <w:hideMark/>
          </w:tcPr>
          <w:p w14:paraId="43AD020D" w14:textId="77777777" w:rsidR="00CE7402" w:rsidRPr="00293CE6" w:rsidRDefault="00CE7402" w:rsidP="00CE7402">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CE7402" w:rsidRPr="00293CE6" w14:paraId="7FEF4076"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7DC78C39" w14:textId="765BA900" w:rsidR="00CE7402" w:rsidRPr="00293CE6" w:rsidRDefault="00CE7402" w:rsidP="00CE7402">
            <w:pPr>
              <w:spacing w:after="0" w:line="240" w:lineRule="auto"/>
              <w:jc w:val="center"/>
              <w:rPr>
                <w:rFonts w:ascii="Aptos Narrow" w:eastAsia="Times New Roman" w:hAnsi="Aptos Narrow" w:cs="Times New Roman"/>
                <w:color w:val="6BB745"/>
                <w:sz w:val="22"/>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6B5B5560" w14:textId="77777777" w:rsidR="00CE7402" w:rsidRPr="00293CE6" w:rsidRDefault="00CE7402" w:rsidP="00CE7402">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29E728A8" w14:textId="77777777" w:rsidR="00CE7402" w:rsidRPr="00293CE6" w:rsidRDefault="00CE7402" w:rsidP="00CE7402">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General communication - Manage the EIT Community Hub social media channel / Number of new LinkedIn followers </w:t>
            </w:r>
          </w:p>
        </w:tc>
        <w:tc>
          <w:tcPr>
            <w:tcW w:w="1796" w:type="dxa"/>
            <w:tcBorders>
              <w:top w:val="nil"/>
              <w:left w:val="nil"/>
              <w:bottom w:val="single" w:sz="4" w:space="0" w:color="000000"/>
              <w:right w:val="single" w:sz="4" w:space="0" w:color="000000"/>
            </w:tcBorders>
            <w:shd w:val="clear" w:color="auto" w:fill="FFFF00"/>
            <w:vAlign w:val="center"/>
            <w:hideMark/>
          </w:tcPr>
          <w:p w14:paraId="240F7459" w14:textId="77777777" w:rsidR="00CE7402" w:rsidRPr="00293CE6" w:rsidRDefault="00CE7402" w:rsidP="00CE7402">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CE7402" w:rsidRPr="00293CE6" w14:paraId="13E2C58D"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1888EFAC" w14:textId="0F02DCC6" w:rsidR="00CE7402" w:rsidRPr="00293CE6" w:rsidRDefault="00CE7402" w:rsidP="00CE7402">
            <w:pPr>
              <w:spacing w:after="0" w:line="240" w:lineRule="auto"/>
              <w:jc w:val="center"/>
              <w:rPr>
                <w:rFonts w:ascii="Aptos Narrow" w:eastAsia="Times New Roman" w:hAnsi="Aptos Narrow" w:cs="Times New Roman"/>
                <w:color w:val="6BB745"/>
                <w:sz w:val="22"/>
                <w:lang w:eastAsia="en-GB"/>
              </w:rPr>
            </w:pPr>
            <w:r w:rsidRPr="00462B80">
              <w:rPr>
                <w:rFonts w:ascii="Aptos Narrow" w:eastAsia="Times New Roman" w:hAnsi="Aptos Narrow" w:cs="Times New Roman"/>
                <w:color w:val="6BB745"/>
                <w:sz w:val="14"/>
                <w:szCs w:val="14"/>
                <w:lang w:eastAsia="en-GB"/>
              </w:rPr>
              <w:lastRenderedPageBreak/>
              <w:t>YES</w:t>
            </w:r>
          </w:p>
        </w:tc>
        <w:tc>
          <w:tcPr>
            <w:tcW w:w="476" w:type="dxa"/>
            <w:tcBorders>
              <w:top w:val="nil"/>
              <w:left w:val="nil"/>
              <w:bottom w:val="single" w:sz="4" w:space="0" w:color="000000"/>
              <w:right w:val="single" w:sz="4" w:space="0" w:color="000000"/>
            </w:tcBorders>
            <w:shd w:val="clear" w:color="auto" w:fill="auto"/>
            <w:noWrap/>
            <w:vAlign w:val="center"/>
            <w:hideMark/>
          </w:tcPr>
          <w:p w14:paraId="585F5640" w14:textId="77777777" w:rsidR="00CE7402" w:rsidRPr="00293CE6" w:rsidRDefault="00CE7402" w:rsidP="00CE7402">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5C7CBB00" w14:textId="77777777" w:rsidR="00CE7402" w:rsidRPr="00293CE6" w:rsidRDefault="00CE7402" w:rsidP="00CE7402">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 xml:space="preserve">General communication - Publish posts on EIT Community Hub social media channel / Number of posts for general communication </w:t>
            </w:r>
          </w:p>
        </w:tc>
        <w:tc>
          <w:tcPr>
            <w:tcW w:w="1796" w:type="dxa"/>
            <w:tcBorders>
              <w:top w:val="nil"/>
              <w:left w:val="nil"/>
              <w:bottom w:val="single" w:sz="4" w:space="0" w:color="000000"/>
              <w:right w:val="single" w:sz="4" w:space="0" w:color="000000"/>
            </w:tcBorders>
            <w:shd w:val="clear" w:color="auto" w:fill="FFFF00"/>
            <w:vAlign w:val="center"/>
            <w:hideMark/>
          </w:tcPr>
          <w:p w14:paraId="381EE277" w14:textId="77777777" w:rsidR="00CE7402" w:rsidRPr="00293CE6" w:rsidRDefault="00CE7402" w:rsidP="00CE7402">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CE7402" w:rsidRPr="00293CE6" w14:paraId="1FFBE950"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7DC16F49" w14:textId="4EE0B3F5" w:rsidR="00CE7402" w:rsidRPr="00293CE6" w:rsidRDefault="00CE7402" w:rsidP="00CE7402">
            <w:pPr>
              <w:spacing w:after="0" w:line="240" w:lineRule="auto"/>
              <w:jc w:val="center"/>
              <w:rPr>
                <w:rFonts w:ascii="Aptos Narrow" w:eastAsia="Times New Roman" w:hAnsi="Aptos Narrow" w:cs="Times New Roman"/>
                <w:color w:val="6BB745"/>
                <w:sz w:val="22"/>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00D74526" w14:textId="77777777" w:rsidR="00CE7402" w:rsidRPr="00293CE6" w:rsidRDefault="00CE7402" w:rsidP="00CE7402">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5D847F92" w14:textId="77777777" w:rsidR="00CE7402" w:rsidRPr="00293CE6" w:rsidRDefault="00CE7402" w:rsidP="00CE7402">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Enhance Audience Interaction on EIT Community Hub social media channel / Number of engagements for general communication posts</w:t>
            </w:r>
          </w:p>
        </w:tc>
        <w:tc>
          <w:tcPr>
            <w:tcW w:w="1796" w:type="dxa"/>
            <w:tcBorders>
              <w:top w:val="nil"/>
              <w:left w:val="nil"/>
              <w:bottom w:val="single" w:sz="4" w:space="0" w:color="000000"/>
              <w:right w:val="single" w:sz="4" w:space="0" w:color="000000"/>
            </w:tcBorders>
            <w:shd w:val="clear" w:color="auto" w:fill="FFFF00"/>
            <w:vAlign w:val="center"/>
            <w:hideMark/>
          </w:tcPr>
          <w:p w14:paraId="3F1EE9CB" w14:textId="77777777" w:rsidR="00CE7402" w:rsidRPr="00293CE6" w:rsidRDefault="00CE7402" w:rsidP="00CE7402">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CE7402" w:rsidRPr="00293CE6" w14:paraId="3303D89D"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auto"/>
            <w:noWrap/>
            <w:hideMark/>
          </w:tcPr>
          <w:p w14:paraId="1E32705D" w14:textId="3ABFA180" w:rsidR="00CE7402" w:rsidRPr="00293CE6" w:rsidRDefault="00CE7402" w:rsidP="00CE7402">
            <w:pPr>
              <w:spacing w:after="0" w:line="240" w:lineRule="auto"/>
              <w:jc w:val="center"/>
              <w:rPr>
                <w:rFonts w:ascii="Aptos Narrow" w:eastAsia="Times New Roman" w:hAnsi="Aptos Narrow" w:cs="Times New Roman"/>
                <w:color w:val="6BB745"/>
                <w:sz w:val="22"/>
                <w:lang w:eastAsia="en-GB"/>
              </w:rPr>
            </w:pPr>
            <w:r w:rsidRPr="00462B80">
              <w:rPr>
                <w:rFonts w:ascii="Aptos Narrow" w:eastAsia="Times New Roman" w:hAnsi="Aptos Narrow" w:cs="Times New Roman"/>
                <w:color w:val="6BB745"/>
                <w:sz w:val="14"/>
                <w:szCs w:val="14"/>
                <w:lang w:eastAsia="en-GB"/>
              </w:rPr>
              <w:t>YES</w:t>
            </w:r>
          </w:p>
        </w:tc>
        <w:tc>
          <w:tcPr>
            <w:tcW w:w="476" w:type="dxa"/>
            <w:tcBorders>
              <w:top w:val="nil"/>
              <w:left w:val="nil"/>
              <w:bottom w:val="single" w:sz="4" w:space="0" w:color="000000"/>
              <w:right w:val="single" w:sz="4" w:space="0" w:color="000000"/>
            </w:tcBorders>
            <w:shd w:val="clear" w:color="auto" w:fill="auto"/>
            <w:noWrap/>
            <w:vAlign w:val="center"/>
            <w:hideMark/>
          </w:tcPr>
          <w:p w14:paraId="100D7282" w14:textId="77777777" w:rsidR="00CE7402" w:rsidRPr="00293CE6" w:rsidRDefault="00CE7402" w:rsidP="00CE7402">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M</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6EEEAD15" w14:textId="77777777" w:rsidR="00CE7402" w:rsidRPr="00293CE6" w:rsidRDefault="00CE7402" w:rsidP="00CE7402">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Organise a kick-off event (only for newly established EIT Community Hubs) / Number of  participants at kick-off event</w:t>
            </w:r>
          </w:p>
        </w:tc>
        <w:tc>
          <w:tcPr>
            <w:tcW w:w="1796" w:type="dxa"/>
            <w:tcBorders>
              <w:top w:val="nil"/>
              <w:left w:val="nil"/>
              <w:bottom w:val="single" w:sz="4" w:space="0" w:color="000000"/>
              <w:right w:val="single" w:sz="4" w:space="0" w:color="000000"/>
            </w:tcBorders>
            <w:shd w:val="clear" w:color="auto" w:fill="E8E8E8"/>
            <w:vAlign w:val="center"/>
            <w:hideMark/>
          </w:tcPr>
          <w:p w14:paraId="5572DFE3" w14:textId="77777777" w:rsidR="00CE7402" w:rsidRPr="00293CE6" w:rsidRDefault="00CE7402" w:rsidP="00CE7402">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N/A</w:t>
            </w:r>
          </w:p>
        </w:tc>
      </w:tr>
      <w:tr w:rsidR="00317518" w:rsidRPr="00293CE6" w14:paraId="14168112"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3599CE03" w14:textId="19A78357"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4F7E3E">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68810DCC"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39FB3A9A"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Lead or support press announcements (in close alignment with the RI&amp;I) / Number of press announcements</w:t>
            </w:r>
          </w:p>
        </w:tc>
        <w:tc>
          <w:tcPr>
            <w:tcW w:w="1796" w:type="dxa"/>
            <w:tcBorders>
              <w:top w:val="nil"/>
              <w:left w:val="nil"/>
              <w:bottom w:val="single" w:sz="4" w:space="0" w:color="000000"/>
              <w:right w:val="single" w:sz="4" w:space="0" w:color="000000"/>
            </w:tcBorders>
            <w:shd w:val="clear" w:color="auto" w:fill="FFFF00"/>
            <w:vAlign w:val="center"/>
            <w:hideMark/>
          </w:tcPr>
          <w:p w14:paraId="76040A92"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4A6517DB"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3E625719" w14:textId="54D98299"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4F7E3E">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5DB41F77"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auto"/>
            <w:vAlign w:val="center"/>
            <w:hideMark/>
          </w:tcPr>
          <w:p w14:paraId="6227F9B6"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Collect testimonials, impact stories / Number of testimonials, impact stories collected</w:t>
            </w:r>
          </w:p>
        </w:tc>
        <w:tc>
          <w:tcPr>
            <w:tcW w:w="1796" w:type="dxa"/>
            <w:tcBorders>
              <w:top w:val="nil"/>
              <w:left w:val="nil"/>
              <w:bottom w:val="single" w:sz="4" w:space="0" w:color="000000"/>
              <w:right w:val="single" w:sz="4" w:space="0" w:color="000000"/>
            </w:tcBorders>
            <w:shd w:val="clear" w:color="auto" w:fill="FFFF00"/>
            <w:vAlign w:val="center"/>
            <w:hideMark/>
          </w:tcPr>
          <w:p w14:paraId="32A3A105"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0E297D0B"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2350FAA3" w14:textId="7B1C1EBC"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4F7E3E">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74ABFD07"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FFFF00"/>
            <w:vAlign w:val="center"/>
            <w:hideMark/>
          </w:tcPr>
          <w:p w14:paraId="0516F021"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5C06DBC2"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317518" w:rsidRPr="00293CE6" w14:paraId="53909DD7" w14:textId="77777777" w:rsidTr="1FCB43CC">
        <w:trPr>
          <w:trHeight w:val="405"/>
        </w:trPr>
        <w:tc>
          <w:tcPr>
            <w:tcW w:w="676" w:type="dxa"/>
            <w:tcBorders>
              <w:top w:val="nil"/>
              <w:left w:val="single" w:sz="4" w:space="0" w:color="000000"/>
              <w:bottom w:val="single" w:sz="4" w:space="0" w:color="000000"/>
              <w:right w:val="single" w:sz="4" w:space="0" w:color="000000"/>
            </w:tcBorders>
            <w:shd w:val="clear" w:color="auto" w:fill="FFFF00"/>
            <w:noWrap/>
            <w:hideMark/>
          </w:tcPr>
          <w:p w14:paraId="68AEC11F" w14:textId="636923B9" w:rsidR="00317518" w:rsidRPr="00293CE6" w:rsidRDefault="00317518" w:rsidP="00317518">
            <w:pPr>
              <w:spacing w:after="0" w:line="240" w:lineRule="auto"/>
              <w:jc w:val="center"/>
              <w:rPr>
                <w:rFonts w:ascii="Aptos Narrow" w:eastAsia="Times New Roman" w:hAnsi="Aptos Narrow" w:cs="Times New Roman"/>
                <w:color w:val="6BB745"/>
                <w:sz w:val="22"/>
                <w:lang w:eastAsia="en-GB"/>
              </w:rPr>
            </w:pPr>
            <w:r w:rsidRPr="004F7E3E">
              <w:rPr>
                <w:rFonts w:ascii="Aptos Narrow" w:eastAsia="Times New Roman" w:hAnsi="Aptos Narrow" w:cs="Times New Roman"/>
                <w:color w:val="6BB745"/>
                <w:sz w:val="14"/>
                <w:szCs w:val="14"/>
                <w:lang w:eastAsia="en-GB"/>
              </w:rPr>
              <w:t>YES/NO</w:t>
            </w:r>
          </w:p>
        </w:tc>
        <w:tc>
          <w:tcPr>
            <w:tcW w:w="476" w:type="dxa"/>
            <w:tcBorders>
              <w:top w:val="nil"/>
              <w:left w:val="nil"/>
              <w:bottom w:val="single" w:sz="4" w:space="0" w:color="000000"/>
              <w:right w:val="single" w:sz="4" w:space="0" w:color="000000"/>
            </w:tcBorders>
            <w:shd w:val="clear" w:color="auto" w:fill="auto"/>
            <w:noWrap/>
            <w:vAlign w:val="center"/>
            <w:hideMark/>
          </w:tcPr>
          <w:p w14:paraId="1333AFF6" w14:textId="77777777" w:rsidR="00317518" w:rsidRPr="00293CE6" w:rsidRDefault="00317518" w:rsidP="00317518">
            <w:pPr>
              <w:spacing w:after="0" w:line="240" w:lineRule="auto"/>
              <w:jc w:val="center"/>
              <w:rPr>
                <w:rFonts w:ascii="Aptos Narrow" w:eastAsia="Times New Roman" w:hAnsi="Aptos Narrow" w:cs="Times New Roman"/>
                <w:color w:val="000000"/>
                <w:sz w:val="22"/>
                <w:lang w:eastAsia="en-GB"/>
              </w:rPr>
            </w:pPr>
            <w:r w:rsidRPr="00293CE6">
              <w:rPr>
                <w:rFonts w:ascii="Aptos Narrow" w:eastAsia="Times New Roman" w:hAnsi="Aptos Narrow" w:cs="Times New Roman"/>
                <w:color w:val="000000"/>
                <w:sz w:val="22"/>
                <w:lang w:eastAsia="en-GB"/>
              </w:rPr>
              <w:t>O</w:t>
            </w:r>
          </w:p>
        </w:tc>
        <w:tc>
          <w:tcPr>
            <w:tcW w:w="11336" w:type="dxa"/>
            <w:gridSpan w:val="6"/>
            <w:tcBorders>
              <w:top w:val="single" w:sz="4" w:space="0" w:color="000000"/>
              <w:left w:val="nil"/>
              <w:bottom w:val="single" w:sz="4" w:space="0" w:color="000000"/>
              <w:right w:val="single" w:sz="4" w:space="0" w:color="000000"/>
            </w:tcBorders>
            <w:shd w:val="clear" w:color="auto" w:fill="FFFF00"/>
            <w:vAlign w:val="center"/>
            <w:hideMark/>
          </w:tcPr>
          <w:p w14:paraId="40F220D9" w14:textId="77777777" w:rsidR="00317518" w:rsidRPr="00293CE6" w:rsidRDefault="00317518" w:rsidP="00317518">
            <w:pPr>
              <w:spacing w:after="0" w:line="240" w:lineRule="auto"/>
              <w:rPr>
                <w:rFonts w:ascii="Titillium" w:eastAsia="Times New Roman" w:hAnsi="Titillium" w:cs="Times New Roman"/>
                <w:color w:val="000000"/>
                <w:sz w:val="16"/>
                <w:szCs w:val="16"/>
                <w:lang w:eastAsia="en-GB"/>
              </w:rPr>
            </w:pPr>
            <w:r w:rsidRPr="00293CE6">
              <w:rPr>
                <w:rFonts w:ascii="Titillium" w:eastAsia="Times New Roman" w:hAnsi="Titillium" w:cs="Times New Roman"/>
                <w:color w:val="000000"/>
                <w:sz w:val="16"/>
                <w:szCs w:val="16"/>
                <w:lang w:eastAsia="en-GB"/>
              </w:rPr>
              <w:t>General communication - Other, please specify................................................</w:t>
            </w:r>
          </w:p>
        </w:tc>
        <w:tc>
          <w:tcPr>
            <w:tcW w:w="1796" w:type="dxa"/>
            <w:tcBorders>
              <w:top w:val="nil"/>
              <w:left w:val="nil"/>
              <w:bottom w:val="single" w:sz="4" w:space="0" w:color="000000"/>
              <w:right w:val="single" w:sz="4" w:space="0" w:color="000000"/>
            </w:tcBorders>
            <w:shd w:val="clear" w:color="auto" w:fill="FFFF00"/>
            <w:vAlign w:val="center"/>
            <w:hideMark/>
          </w:tcPr>
          <w:p w14:paraId="23E2EC51" w14:textId="77777777" w:rsidR="00317518" w:rsidRPr="00293CE6" w:rsidRDefault="00317518" w:rsidP="00317518">
            <w:pPr>
              <w:spacing w:after="0" w:line="240" w:lineRule="auto"/>
              <w:jc w:val="center"/>
              <w:rPr>
                <w:rFonts w:ascii="Titillium" w:eastAsia="Times New Roman" w:hAnsi="Titillium" w:cs="Times New Roman"/>
                <w:i/>
                <w:iCs/>
                <w:color w:val="000000"/>
                <w:sz w:val="16"/>
                <w:szCs w:val="16"/>
                <w:lang w:eastAsia="en-GB"/>
              </w:rPr>
            </w:pPr>
            <w:r w:rsidRPr="00293CE6">
              <w:rPr>
                <w:rFonts w:ascii="Titillium" w:eastAsia="Times New Roman" w:hAnsi="Titillium" w:cs="Times New Roman"/>
                <w:i/>
                <w:iCs/>
                <w:color w:val="000000"/>
                <w:sz w:val="16"/>
                <w:szCs w:val="16"/>
                <w:lang w:eastAsia="en-GB"/>
              </w:rPr>
              <w:t>Number</w:t>
            </w:r>
          </w:p>
        </w:tc>
      </w:tr>
      <w:tr w:rsidR="00293CE6" w:rsidRPr="00293CE6" w14:paraId="304DD348" w14:textId="77777777" w:rsidTr="1FCB43CC">
        <w:trPr>
          <w:trHeight w:val="600"/>
        </w:trPr>
        <w:tc>
          <w:tcPr>
            <w:tcW w:w="14284"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hideMark/>
          </w:tcPr>
          <w:p w14:paraId="6E0426B5" w14:textId="77777777" w:rsidR="00293CE6" w:rsidRPr="00293CE6" w:rsidRDefault="00293CE6" w:rsidP="00293CE6">
            <w:pPr>
              <w:spacing w:after="0" w:line="240" w:lineRule="auto"/>
              <w:jc w:val="center"/>
              <w:rPr>
                <w:rFonts w:ascii="Titillium" w:eastAsia="Times New Roman" w:hAnsi="Titillium" w:cs="Times New Roman"/>
                <w:color w:val="000000"/>
                <w:szCs w:val="20"/>
                <w:lang w:eastAsia="en-GB"/>
              </w:rPr>
            </w:pPr>
            <w:r w:rsidRPr="00293CE6">
              <w:rPr>
                <w:rFonts w:ascii="Titillium" w:eastAsia="Times New Roman" w:hAnsi="Titillium" w:cs="Times New Roman"/>
                <w:color w:val="000000"/>
                <w:szCs w:val="20"/>
                <w:lang w:eastAsia="en-GB"/>
              </w:rPr>
              <w:t xml:space="preserve">WP0 Activity descriptions </w:t>
            </w:r>
            <w:r w:rsidRPr="00293CE6">
              <w:rPr>
                <w:rFonts w:ascii="Titillium" w:eastAsia="Times New Roman" w:hAnsi="Titillium" w:cs="Times New Roman"/>
                <w:color w:val="000000"/>
                <w:szCs w:val="20"/>
                <w:lang w:eastAsia="en-GB"/>
              </w:rPr>
              <w:br/>
              <w:t>Please provide strategic approach, methodology and description of the activities</w:t>
            </w:r>
          </w:p>
        </w:tc>
      </w:tr>
      <w:tr w:rsidR="00293CE6" w:rsidRPr="00293CE6" w14:paraId="4494E208" w14:textId="77777777" w:rsidTr="1FCB43CC">
        <w:trPr>
          <w:trHeight w:val="3997"/>
        </w:trPr>
        <w:tc>
          <w:tcPr>
            <w:tcW w:w="14284" w:type="dxa"/>
            <w:gridSpan w:val="9"/>
            <w:tcBorders>
              <w:top w:val="nil"/>
              <w:left w:val="single" w:sz="4" w:space="0" w:color="000000"/>
              <w:bottom w:val="single" w:sz="4" w:space="0" w:color="000000"/>
              <w:right w:val="single" w:sz="4" w:space="0" w:color="000000"/>
            </w:tcBorders>
            <w:shd w:val="clear" w:color="auto" w:fill="FFFF00"/>
            <w:noWrap/>
            <w:hideMark/>
          </w:tcPr>
          <w:p w14:paraId="34AF4FCB" w14:textId="77777777" w:rsidR="00293CE6" w:rsidRPr="00293CE6" w:rsidRDefault="00293CE6" w:rsidP="00293CE6">
            <w:pPr>
              <w:spacing w:after="0" w:line="240" w:lineRule="auto"/>
              <w:rPr>
                <w:rFonts w:ascii="Aptos Narrow" w:eastAsia="Times New Roman" w:hAnsi="Aptos Narrow" w:cs="Times New Roman"/>
                <w:i/>
                <w:iCs/>
                <w:color w:val="000000"/>
                <w:sz w:val="22"/>
                <w:lang w:eastAsia="en-GB"/>
              </w:rPr>
            </w:pPr>
            <w:r w:rsidRPr="00293CE6">
              <w:rPr>
                <w:rFonts w:ascii="Aptos Narrow" w:eastAsia="Times New Roman" w:hAnsi="Aptos Narrow" w:cs="Times New Roman"/>
                <w:i/>
                <w:iCs/>
                <w:color w:val="000000"/>
                <w:sz w:val="22"/>
                <w:lang w:eastAsia="en-GB"/>
              </w:rPr>
              <w:t>[Max 1,000 words]</w:t>
            </w:r>
          </w:p>
        </w:tc>
      </w:tr>
    </w:tbl>
    <w:p w14:paraId="601D57D1" w14:textId="77777777" w:rsidR="00293CE6" w:rsidRDefault="00293CE6" w:rsidP="00423AF0">
      <w:pPr>
        <w:rPr>
          <w:rFonts w:ascii="Calibri" w:hAnsi="Calibri" w:cs="Arial"/>
        </w:rPr>
        <w:sectPr w:rsidR="00293CE6" w:rsidSect="00D742C8">
          <w:pgSz w:w="15840" w:h="12240" w:orient="landscape" w:code="1"/>
          <w:pgMar w:top="1134" w:right="1134" w:bottom="1134" w:left="1134" w:header="567" w:footer="442" w:gutter="0"/>
          <w:cols w:space="720"/>
          <w:docGrid w:linePitch="272"/>
        </w:sectPr>
      </w:pPr>
    </w:p>
    <w:p w14:paraId="50967E64" w14:textId="05EA3ADF" w:rsidR="00423AF0" w:rsidRPr="00423AF0" w:rsidRDefault="4E6992E9" w:rsidP="00043849">
      <w:pPr>
        <w:pStyle w:val="EITUMHeading1"/>
        <w:numPr>
          <w:ilvl w:val="0"/>
          <w:numId w:val="0"/>
        </w:numPr>
      </w:pPr>
      <w:bookmarkStart w:id="70" w:name="_Toc206684779"/>
      <w:r>
        <w:lastRenderedPageBreak/>
        <w:t>A</w:t>
      </w:r>
      <w:r w:rsidR="51E73012">
        <w:t xml:space="preserve">nnex 5. </w:t>
      </w:r>
      <w:r w:rsidR="584CE015">
        <w:t>ECO Performance Monitoring and Evaluation Guidelines</w:t>
      </w:r>
      <w:bookmarkEnd w:id="70"/>
      <w:r w:rsidR="584CE015">
        <w:t xml:space="preserve"> </w:t>
      </w:r>
    </w:p>
    <w:p w14:paraId="387B9127" w14:textId="77777777" w:rsidR="00423AF0" w:rsidRDefault="00423AF0" w:rsidP="00423AF0">
      <w:pPr>
        <w:jc w:val="center"/>
        <w:rPr>
          <w:rFonts w:ascii="Titillium" w:eastAsia="Titillium" w:hAnsi="Titillium" w:cs="Titillium"/>
          <w:b/>
          <w:bCs/>
          <w:color w:val="002060"/>
          <w:sz w:val="44"/>
          <w:szCs w:val="44"/>
        </w:rPr>
      </w:pPr>
    </w:p>
    <w:p w14:paraId="777C624D" w14:textId="77777777" w:rsidR="00423AF0" w:rsidRPr="00562C73" w:rsidRDefault="00423AF0" w:rsidP="00423AF0">
      <w:pPr>
        <w:jc w:val="center"/>
        <w:rPr>
          <w:rFonts w:ascii="Titillium" w:eastAsia="Titillium" w:hAnsi="Titillium" w:cs="Titillium"/>
          <w:b/>
          <w:bCs/>
          <w:color w:val="002060"/>
          <w:sz w:val="44"/>
          <w:szCs w:val="44"/>
        </w:rPr>
      </w:pPr>
      <w:r w:rsidRPr="636C4F36">
        <w:rPr>
          <w:rFonts w:ascii="Titillium" w:eastAsia="Titillium" w:hAnsi="Titillium" w:cs="Titillium"/>
          <w:b/>
          <w:bCs/>
          <w:color w:val="002060"/>
          <w:sz w:val="44"/>
          <w:szCs w:val="44"/>
        </w:rPr>
        <w:t xml:space="preserve">EIT Community Officer </w:t>
      </w:r>
    </w:p>
    <w:p w14:paraId="79D41BB4" w14:textId="77777777" w:rsidR="00423AF0" w:rsidRPr="00562C73" w:rsidRDefault="00423AF0" w:rsidP="00423AF0">
      <w:pPr>
        <w:pStyle w:val="ListParagraph"/>
        <w:ind w:left="0"/>
        <w:jc w:val="center"/>
        <w:rPr>
          <w:rFonts w:ascii="Titillium" w:eastAsia="Titillium" w:hAnsi="Titillium" w:cs="Titillium"/>
          <w:b/>
          <w:bCs/>
          <w:color w:val="002060"/>
          <w:sz w:val="40"/>
          <w:szCs w:val="40"/>
        </w:rPr>
      </w:pPr>
      <w:r w:rsidRPr="636C4F36">
        <w:rPr>
          <w:rFonts w:ascii="Titillium" w:eastAsia="Titillium" w:hAnsi="Titillium" w:cs="Titillium"/>
          <w:b/>
          <w:bCs/>
          <w:color w:val="002060"/>
          <w:sz w:val="40"/>
          <w:szCs w:val="40"/>
        </w:rPr>
        <w:t>guide to performance monitoring and assessment</w:t>
      </w:r>
    </w:p>
    <w:p w14:paraId="5937D2C8" w14:textId="77777777" w:rsidR="00423AF0" w:rsidRPr="00562C73" w:rsidRDefault="00423AF0" w:rsidP="00423AF0">
      <w:pPr>
        <w:pStyle w:val="ListParagraph"/>
        <w:ind w:left="0"/>
        <w:jc w:val="center"/>
        <w:rPr>
          <w:rFonts w:ascii="Titillium" w:eastAsia="Titillium" w:hAnsi="Titillium" w:cs="Titillium"/>
          <w:b/>
          <w:bCs/>
          <w:color w:val="002060"/>
          <w:sz w:val="40"/>
          <w:szCs w:val="40"/>
        </w:rPr>
      </w:pPr>
      <w:r w:rsidRPr="636C4F36">
        <w:rPr>
          <w:rFonts w:ascii="Titillium" w:eastAsia="Titillium" w:hAnsi="Titillium" w:cs="Titillium"/>
          <w:b/>
          <w:bCs/>
          <w:color w:val="002060"/>
          <w:sz w:val="40"/>
          <w:szCs w:val="40"/>
        </w:rPr>
        <w:t xml:space="preserve"> 2026-2028</w:t>
      </w:r>
    </w:p>
    <w:p w14:paraId="4D9E2F60" w14:textId="77777777" w:rsidR="00423AF0" w:rsidRDefault="00423AF0" w:rsidP="00423AF0">
      <w:pPr>
        <w:pStyle w:val="ListParagraph"/>
        <w:ind w:left="0"/>
        <w:jc w:val="center"/>
        <w:rPr>
          <w:rFonts w:ascii="Titillium" w:eastAsia="Titillium" w:hAnsi="Titillium" w:cs="Titillium"/>
          <w:b/>
          <w:bCs/>
          <w:color w:val="002060"/>
          <w:sz w:val="40"/>
          <w:szCs w:val="40"/>
        </w:rPr>
      </w:pPr>
    </w:p>
    <w:p w14:paraId="488C6538" w14:textId="77777777" w:rsidR="00423AF0" w:rsidRDefault="00423AF0" w:rsidP="00423AF0">
      <w:pPr>
        <w:jc w:val="center"/>
        <w:rPr>
          <w:rFonts w:ascii="Titillium" w:eastAsia="Titillium" w:hAnsi="Titillium" w:cs="Titillium"/>
          <w:color w:val="002060"/>
          <w:sz w:val="32"/>
          <w:szCs w:val="32"/>
        </w:rPr>
      </w:pPr>
      <w:r w:rsidRPr="636C4F36">
        <w:rPr>
          <w:rFonts w:ascii="Titillium" w:eastAsia="Titillium" w:hAnsi="Titillium" w:cs="Titillium"/>
          <w:color w:val="002060"/>
          <w:sz w:val="32"/>
          <w:szCs w:val="32"/>
        </w:rPr>
        <w:t xml:space="preserve"> Regional Innovations and Internationalisation (RI&amp;I) </w:t>
      </w:r>
    </w:p>
    <w:p w14:paraId="4D13EC09" w14:textId="77777777" w:rsidR="00423AF0" w:rsidRDefault="00423AF0" w:rsidP="00423AF0">
      <w:pPr>
        <w:jc w:val="center"/>
        <w:rPr>
          <w:rFonts w:ascii="Titillium" w:eastAsia="Titillium" w:hAnsi="Titillium" w:cs="Titillium"/>
          <w:color w:val="002060"/>
          <w:sz w:val="32"/>
          <w:szCs w:val="32"/>
        </w:rPr>
      </w:pPr>
      <w:r w:rsidRPr="636C4F36">
        <w:rPr>
          <w:rFonts w:ascii="Titillium" w:eastAsia="Titillium" w:hAnsi="Titillium" w:cs="Titillium"/>
          <w:color w:val="002060"/>
          <w:sz w:val="32"/>
          <w:szCs w:val="32"/>
        </w:rPr>
        <w:t>Cross-KIC/EIT Community Cluster</w:t>
      </w:r>
    </w:p>
    <w:p w14:paraId="1052F52E" w14:textId="77777777" w:rsidR="00423AF0" w:rsidRDefault="00423AF0" w:rsidP="00423AF0">
      <w:pPr>
        <w:jc w:val="center"/>
        <w:rPr>
          <w:rFonts w:ascii="Titillium" w:eastAsia="Titillium" w:hAnsi="Titillium" w:cs="Titillium"/>
          <w:color w:val="002060"/>
          <w:sz w:val="32"/>
          <w:szCs w:val="32"/>
        </w:rPr>
      </w:pPr>
    </w:p>
    <w:p w14:paraId="5994AC5E" w14:textId="2E09E0C3" w:rsidR="00423AF0" w:rsidRDefault="00423AF0" w:rsidP="00423AF0">
      <w:pPr>
        <w:jc w:val="center"/>
        <w:rPr>
          <w:rFonts w:ascii="Titillium" w:eastAsia="Titillium" w:hAnsi="Titillium" w:cs="Titillium"/>
          <w:color w:val="002060"/>
          <w:sz w:val="60"/>
          <w:szCs w:val="60"/>
        </w:rPr>
      </w:pPr>
    </w:p>
    <w:p w14:paraId="37A57701" w14:textId="37433824" w:rsidR="00423AF0" w:rsidRPr="00C3384C" w:rsidRDefault="098FC36C" w:rsidP="00423AF0">
      <w:pPr>
        <w:jc w:val="center"/>
        <w:rPr>
          <w:rFonts w:ascii="Titillium" w:eastAsia="Titillium" w:hAnsi="Titillium" w:cs="Titillium"/>
          <w:color w:val="002060"/>
          <w:sz w:val="24"/>
          <w:szCs w:val="24"/>
        </w:rPr>
      </w:pPr>
      <w:r w:rsidRPr="5F6670B7">
        <w:rPr>
          <w:rFonts w:ascii="Titillium" w:eastAsia="Titillium" w:hAnsi="Titillium" w:cs="Titillium"/>
          <w:color w:val="002060"/>
          <w:sz w:val="24"/>
          <w:szCs w:val="24"/>
        </w:rPr>
        <w:t xml:space="preserve">August </w:t>
      </w:r>
      <w:r w:rsidR="00423AF0" w:rsidRPr="5F6670B7">
        <w:rPr>
          <w:rFonts w:ascii="Titillium" w:eastAsia="Titillium" w:hAnsi="Titillium" w:cs="Titillium"/>
          <w:color w:val="002060"/>
          <w:sz w:val="24"/>
          <w:szCs w:val="24"/>
        </w:rPr>
        <w:t>2025</w:t>
      </w:r>
    </w:p>
    <w:p w14:paraId="61D32792" w14:textId="77777777" w:rsidR="00423AF0" w:rsidRDefault="00423AF0" w:rsidP="00423AF0">
      <w:pPr>
        <w:ind w:left="708"/>
        <w:jc w:val="center"/>
        <w:rPr>
          <w:rFonts w:ascii="Titillium" w:eastAsia="Titillium" w:hAnsi="Titillium" w:cs="Titillium"/>
        </w:rPr>
      </w:pPr>
    </w:p>
    <w:p w14:paraId="7CA1ED71" w14:textId="77777777" w:rsidR="00423AF0" w:rsidRDefault="00423AF0" w:rsidP="00423AF0">
      <w:pPr>
        <w:rPr>
          <w:rFonts w:ascii="Titillium" w:eastAsia="Titillium" w:hAnsi="Titillium" w:cs="Titillium"/>
          <w:color w:val="23A2E4" w:themeColor="accent1" w:themeShade="BF"/>
          <w:sz w:val="32"/>
          <w:szCs w:val="32"/>
        </w:rPr>
      </w:pPr>
      <w:r w:rsidRPr="636C4F36">
        <w:rPr>
          <w:rFonts w:ascii="Titillium" w:eastAsia="Titillium" w:hAnsi="Titillium" w:cs="Titillium"/>
        </w:rPr>
        <w:br w:type="page"/>
      </w:r>
    </w:p>
    <w:bookmarkStart w:id="71" w:name="_Toc2027120412" w:displacedByCustomXml="next"/>
    <w:sdt>
      <w:sdtPr>
        <w:rPr>
          <w:rFonts w:asciiTheme="minorHAnsi" w:eastAsiaTheme="minorEastAsia" w:hAnsiTheme="minorHAnsi" w:cstheme="minorBidi"/>
          <w:b/>
          <w:noProof/>
          <w:color w:val="auto"/>
          <w:sz w:val="22"/>
          <w:szCs w:val="22"/>
        </w:rPr>
        <w:id w:val="1634812529"/>
        <w:docPartObj>
          <w:docPartGallery w:val="Table of Contents"/>
          <w:docPartUnique/>
        </w:docPartObj>
      </w:sdtPr>
      <w:sdtEndPr>
        <w:rPr>
          <w:color w:val="333333" w:themeColor="text1"/>
          <w:sz w:val="20"/>
          <w:szCs w:val="20"/>
        </w:rPr>
      </w:sdtEndPr>
      <w:sdtContent>
        <w:p w14:paraId="6B1F0D59" w14:textId="77777777" w:rsidR="00423AF0" w:rsidRPr="002D3C58" w:rsidRDefault="00423AF0" w:rsidP="00423AF0">
          <w:pPr>
            <w:pStyle w:val="TOCHeading"/>
            <w:ind w:firstLine="0"/>
            <w:rPr>
              <w:rFonts w:ascii="Titillium" w:hAnsi="Titillium" w:cs="Titillium"/>
            </w:rPr>
          </w:pPr>
          <w:r w:rsidRPr="636C4F36">
            <w:rPr>
              <w:rFonts w:ascii="Titillium" w:eastAsia="Titillium" w:hAnsi="Titillium" w:cs="Titillium"/>
            </w:rPr>
            <w:t>Content</w:t>
          </w:r>
          <w:bookmarkEnd w:id="71"/>
        </w:p>
        <w:p w14:paraId="214FEE91" w14:textId="153132CE" w:rsidR="00423AF0" w:rsidRDefault="00423AF0" w:rsidP="00423AF0">
          <w:pPr>
            <w:pStyle w:val="TOC1"/>
            <w:tabs>
              <w:tab w:val="right" w:leader="dot" w:pos="9345"/>
            </w:tabs>
            <w:rPr>
              <w:rStyle w:val="Hyperlink"/>
              <w:lang w:eastAsia="en-GB"/>
            </w:rPr>
          </w:pPr>
          <w:r>
            <w:fldChar w:fldCharType="begin"/>
          </w:r>
          <w:r>
            <w:instrText>TOC \o "1-3" \z \u \h</w:instrText>
          </w:r>
          <w:r>
            <w:fldChar w:fldCharType="separate"/>
          </w:r>
          <w:hyperlink w:anchor="_Toc2027120412">
            <w:r w:rsidRPr="636C4F36">
              <w:rPr>
                <w:rStyle w:val="Hyperlink"/>
              </w:rPr>
              <w:t>Content</w:t>
            </w:r>
            <w:r>
              <w:tab/>
            </w:r>
            <w:r>
              <w:fldChar w:fldCharType="begin"/>
            </w:r>
            <w:r>
              <w:instrText>PAGEREF _Toc2027120412 \h</w:instrText>
            </w:r>
            <w:r>
              <w:fldChar w:fldCharType="separate"/>
            </w:r>
            <w:r w:rsidR="00417248">
              <w:t>57</w:t>
            </w:r>
            <w:r>
              <w:fldChar w:fldCharType="end"/>
            </w:r>
          </w:hyperlink>
        </w:p>
        <w:p w14:paraId="1280056C" w14:textId="685525EF" w:rsidR="00423AF0" w:rsidRDefault="00423AF0" w:rsidP="00423AF0">
          <w:pPr>
            <w:pStyle w:val="TOC1"/>
            <w:tabs>
              <w:tab w:val="left" w:pos="435"/>
              <w:tab w:val="right" w:leader="dot" w:pos="9345"/>
            </w:tabs>
            <w:rPr>
              <w:rStyle w:val="Hyperlink"/>
              <w:lang w:eastAsia="en-GB"/>
            </w:rPr>
          </w:pPr>
          <w:hyperlink w:anchor="_Toc331961000">
            <w:r w:rsidRPr="636C4F36">
              <w:rPr>
                <w:rStyle w:val="Hyperlink"/>
              </w:rPr>
              <w:t>1.</w:t>
            </w:r>
            <w:r>
              <w:tab/>
            </w:r>
            <w:r w:rsidRPr="636C4F36">
              <w:rPr>
                <w:rStyle w:val="Hyperlink"/>
              </w:rPr>
              <w:t>Introduction</w:t>
            </w:r>
            <w:r>
              <w:tab/>
            </w:r>
            <w:r>
              <w:fldChar w:fldCharType="begin"/>
            </w:r>
            <w:r>
              <w:instrText>PAGEREF _Toc331961000 \h</w:instrText>
            </w:r>
            <w:r>
              <w:fldChar w:fldCharType="separate"/>
            </w:r>
            <w:r w:rsidR="00417248">
              <w:rPr>
                <w:b w:val="0"/>
                <w:bCs/>
              </w:rPr>
              <w:t>Error! Bookmark not defined.</w:t>
            </w:r>
            <w:r>
              <w:fldChar w:fldCharType="end"/>
            </w:r>
          </w:hyperlink>
        </w:p>
        <w:p w14:paraId="545CC46B" w14:textId="2FA5DE20" w:rsidR="00423AF0" w:rsidRDefault="00423AF0" w:rsidP="00423AF0">
          <w:pPr>
            <w:pStyle w:val="TOC1"/>
            <w:tabs>
              <w:tab w:val="left" w:pos="435"/>
              <w:tab w:val="right" w:leader="dot" w:pos="9345"/>
            </w:tabs>
            <w:rPr>
              <w:rStyle w:val="Hyperlink"/>
              <w:lang w:eastAsia="en-GB"/>
            </w:rPr>
          </w:pPr>
          <w:hyperlink w:anchor="_Toc644525020">
            <w:r w:rsidRPr="636C4F36">
              <w:rPr>
                <w:rStyle w:val="Hyperlink"/>
              </w:rPr>
              <w:t>2.</w:t>
            </w:r>
            <w:r>
              <w:tab/>
            </w:r>
            <w:r w:rsidRPr="636C4F36">
              <w:rPr>
                <w:rStyle w:val="Hyperlink"/>
              </w:rPr>
              <w:t>Scope</w:t>
            </w:r>
            <w:r>
              <w:tab/>
            </w:r>
            <w:r>
              <w:fldChar w:fldCharType="begin"/>
            </w:r>
            <w:r>
              <w:instrText>PAGEREF _Toc644525020 \h</w:instrText>
            </w:r>
            <w:r>
              <w:fldChar w:fldCharType="separate"/>
            </w:r>
            <w:r w:rsidR="00417248">
              <w:rPr>
                <w:b w:val="0"/>
                <w:bCs/>
              </w:rPr>
              <w:t>Error! Bookmark not defined.</w:t>
            </w:r>
            <w:r>
              <w:fldChar w:fldCharType="end"/>
            </w:r>
          </w:hyperlink>
        </w:p>
        <w:p w14:paraId="05E821F4" w14:textId="0D6F19B1" w:rsidR="00423AF0" w:rsidRDefault="00423AF0" w:rsidP="00423AF0">
          <w:pPr>
            <w:pStyle w:val="TOC1"/>
            <w:tabs>
              <w:tab w:val="left" w:pos="435"/>
              <w:tab w:val="right" w:leader="dot" w:pos="9345"/>
            </w:tabs>
            <w:rPr>
              <w:rStyle w:val="Hyperlink"/>
              <w:lang w:eastAsia="en-GB"/>
            </w:rPr>
          </w:pPr>
          <w:hyperlink w:anchor="_Toc1569198192">
            <w:r w:rsidRPr="636C4F36">
              <w:rPr>
                <w:rStyle w:val="Hyperlink"/>
              </w:rPr>
              <w:t>3.</w:t>
            </w:r>
            <w:r>
              <w:tab/>
            </w:r>
            <w:r w:rsidRPr="636C4F36">
              <w:rPr>
                <w:rStyle w:val="Hyperlink"/>
              </w:rPr>
              <w:t>Work packages and key performance indicators</w:t>
            </w:r>
            <w:r>
              <w:tab/>
            </w:r>
            <w:r>
              <w:fldChar w:fldCharType="begin"/>
            </w:r>
            <w:r>
              <w:instrText>PAGEREF _Toc1569198192 \h</w:instrText>
            </w:r>
            <w:r>
              <w:fldChar w:fldCharType="separate"/>
            </w:r>
            <w:r w:rsidR="00417248">
              <w:t>58</w:t>
            </w:r>
            <w:r>
              <w:fldChar w:fldCharType="end"/>
            </w:r>
          </w:hyperlink>
        </w:p>
        <w:p w14:paraId="356B4264" w14:textId="05FFBDE8" w:rsidR="00423AF0" w:rsidRDefault="00423AF0" w:rsidP="00423AF0">
          <w:pPr>
            <w:pStyle w:val="TOC2"/>
            <w:tabs>
              <w:tab w:val="right" w:leader="dot" w:pos="9345"/>
            </w:tabs>
            <w:rPr>
              <w:rStyle w:val="Hyperlink"/>
              <w:lang w:eastAsia="en-GB"/>
            </w:rPr>
          </w:pPr>
          <w:hyperlink w:anchor="_Toc26282627">
            <w:r w:rsidRPr="636C4F36">
              <w:rPr>
                <w:rStyle w:val="Hyperlink"/>
              </w:rPr>
              <w:t>3.1. The Definition of the Key Performance Indicators</w:t>
            </w:r>
            <w:r>
              <w:tab/>
            </w:r>
            <w:r>
              <w:fldChar w:fldCharType="begin"/>
            </w:r>
            <w:r>
              <w:instrText>PAGEREF _Toc26282627 \h</w:instrText>
            </w:r>
            <w:r>
              <w:fldChar w:fldCharType="separate"/>
            </w:r>
            <w:r w:rsidR="00417248">
              <w:t>60</w:t>
            </w:r>
            <w:r>
              <w:fldChar w:fldCharType="end"/>
            </w:r>
          </w:hyperlink>
        </w:p>
        <w:p w14:paraId="6EDECB5F" w14:textId="0C8F195C" w:rsidR="00423AF0" w:rsidRDefault="00423AF0" w:rsidP="00423AF0">
          <w:pPr>
            <w:pStyle w:val="TOC2"/>
            <w:tabs>
              <w:tab w:val="right" w:leader="dot" w:pos="9345"/>
            </w:tabs>
            <w:rPr>
              <w:rStyle w:val="Hyperlink"/>
              <w:lang w:eastAsia="en-GB"/>
            </w:rPr>
          </w:pPr>
          <w:hyperlink w:anchor="_Toc1253921483">
            <w:r w:rsidRPr="636C4F36">
              <w:rPr>
                <w:rStyle w:val="Hyperlink"/>
              </w:rPr>
              <w:t>3.2. Responsibility areas of EIT Community Officers</w:t>
            </w:r>
            <w:r>
              <w:tab/>
            </w:r>
            <w:r>
              <w:fldChar w:fldCharType="begin"/>
            </w:r>
            <w:r>
              <w:instrText>PAGEREF _Toc1253921483 \h</w:instrText>
            </w:r>
            <w:r>
              <w:fldChar w:fldCharType="separate"/>
            </w:r>
            <w:r w:rsidR="00417248">
              <w:t>63</w:t>
            </w:r>
            <w:r>
              <w:fldChar w:fldCharType="end"/>
            </w:r>
          </w:hyperlink>
        </w:p>
        <w:p w14:paraId="742CDB91" w14:textId="0E810E24" w:rsidR="00423AF0" w:rsidRDefault="00423AF0" w:rsidP="00423AF0">
          <w:pPr>
            <w:pStyle w:val="TOC2"/>
            <w:tabs>
              <w:tab w:val="right" w:leader="dot" w:pos="9345"/>
            </w:tabs>
            <w:rPr>
              <w:rStyle w:val="Hyperlink"/>
              <w:lang w:eastAsia="en-GB"/>
            </w:rPr>
          </w:pPr>
          <w:hyperlink w:anchor="_Toc1251916061">
            <w:r w:rsidRPr="636C4F36">
              <w:rPr>
                <w:rStyle w:val="Hyperlink"/>
              </w:rPr>
              <w:t>3.3. Minimum targets</w:t>
            </w:r>
            <w:r>
              <w:tab/>
            </w:r>
            <w:r>
              <w:fldChar w:fldCharType="begin"/>
            </w:r>
            <w:r>
              <w:instrText>PAGEREF _Toc1251916061 \h</w:instrText>
            </w:r>
            <w:r>
              <w:fldChar w:fldCharType="separate"/>
            </w:r>
            <w:r w:rsidR="00417248">
              <w:t>64</w:t>
            </w:r>
            <w:r>
              <w:fldChar w:fldCharType="end"/>
            </w:r>
          </w:hyperlink>
        </w:p>
        <w:p w14:paraId="77F044C8" w14:textId="3B22E3F3" w:rsidR="00423AF0" w:rsidRDefault="00423AF0" w:rsidP="00423AF0">
          <w:pPr>
            <w:pStyle w:val="TOC1"/>
            <w:tabs>
              <w:tab w:val="left" w:pos="435"/>
              <w:tab w:val="right" w:leader="dot" w:pos="9345"/>
            </w:tabs>
            <w:rPr>
              <w:rStyle w:val="Hyperlink"/>
              <w:lang w:eastAsia="en-GB"/>
            </w:rPr>
          </w:pPr>
          <w:hyperlink w:anchor="_Toc1858700628">
            <w:r w:rsidRPr="636C4F36">
              <w:rPr>
                <w:rStyle w:val="Hyperlink"/>
              </w:rPr>
              <w:t>4.</w:t>
            </w:r>
            <w:r>
              <w:tab/>
            </w:r>
            <w:r w:rsidRPr="636C4F36">
              <w:rPr>
                <w:rStyle w:val="Hyperlink"/>
              </w:rPr>
              <w:t>Activities per Work Packages</w:t>
            </w:r>
            <w:r>
              <w:tab/>
            </w:r>
            <w:r>
              <w:fldChar w:fldCharType="begin"/>
            </w:r>
            <w:r>
              <w:instrText>PAGEREF _Toc1858700628 \h</w:instrText>
            </w:r>
            <w:r>
              <w:fldChar w:fldCharType="separate"/>
            </w:r>
            <w:r w:rsidR="00417248">
              <w:t>65</w:t>
            </w:r>
            <w:r>
              <w:fldChar w:fldCharType="end"/>
            </w:r>
          </w:hyperlink>
        </w:p>
        <w:p w14:paraId="578B9747" w14:textId="5A0CF3EE" w:rsidR="00423AF0" w:rsidRDefault="00423AF0" w:rsidP="00423AF0">
          <w:pPr>
            <w:pStyle w:val="TOC2"/>
            <w:tabs>
              <w:tab w:val="right" w:leader="dot" w:pos="9345"/>
            </w:tabs>
            <w:rPr>
              <w:rStyle w:val="Hyperlink"/>
              <w:lang w:eastAsia="en-GB"/>
            </w:rPr>
          </w:pPr>
          <w:hyperlink w:anchor="_Toc1410382459">
            <w:r w:rsidRPr="636C4F36">
              <w:rPr>
                <w:rStyle w:val="Hyperlink"/>
              </w:rPr>
              <w:t>4.1. Mandatory activities</w:t>
            </w:r>
            <w:r>
              <w:tab/>
            </w:r>
            <w:r>
              <w:fldChar w:fldCharType="begin"/>
            </w:r>
            <w:r>
              <w:instrText>PAGEREF _Toc1410382459 \h</w:instrText>
            </w:r>
            <w:r>
              <w:fldChar w:fldCharType="separate"/>
            </w:r>
            <w:r w:rsidR="00417248">
              <w:t>65</w:t>
            </w:r>
            <w:r>
              <w:fldChar w:fldCharType="end"/>
            </w:r>
          </w:hyperlink>
        </w:p>
        <w:p w14:paraId="21376AEB" w14:textId="41B9856F" w:rsidR="00423AF0" w:rsidRDefault="00423AF0" w:rsidP="00423AF0">
          <w:pPr>
            <w:pStyle w:val="TOC2"/>
            <w:tabs>
              <w:tab w:val="right" w:leader="dot" w:pos="9345"/>
            </w:tabs>
            <w:rPr>
              <w:rStyle w:val="Hyperlink"/>
              <w:lang w:eastAsia="en-GB"/>
            </w:rPr>
          </w:pPr>
          <w:hyperlink w:anchor="_Toc855695027">
            <w:r w:rsidRPr="636C4F36">
              <w:rPr>
                <w:rStyle w:val="Hyperlink"/>
              </w:rPr>
              <w:t>Work package 0 – Administration/Coordination/Communication</w:t>
            </w:r>
            <w:r>
              <w:tab/>
            </w:r>
            <w:r>
              <w:fldChar w:fldCharType="begin"/>
            </w:r>
            <w:r>
              <w:instrText>PAGEREF _Toc855695027 \h</w:instrText>
            </w:r>
            <w:r>
              <w:fldChar w:fldCharType="separate"/>
            </w:r>
            <w:r w:rsidR="00417248">
              <w:t>65</w:t>
            </w:r>
            <w:r>
              <w:fldChar w:fldCharType="end"/>
            </w:r>
          </w:hyperlink>
        </w:p>
        <w:p w14:paraId="660D70F7" w14:textId="242DBD5C" w:rsidR="00423AF0" w:rsidRDefault="00423AF0" w:rsidP="00423AF0">
          <w:pPr>
            <w:pStyle w:val="TOC2"/>
            <w:tabs>
              <w:tab w:val="right" w:leader="dot" w:pos="9345"/>
            </w:tabs>
            <w:rPr>
              <w:rStyle w:val="Hyperlink"/>
              <w:lang w:eastAsia="en-GB"/>
            </w:rPr>
          </w:pPr>
          <w:hyperlink w:anchor="_Toc195922398">
            <w:r w:rsidRPr="636C4F36">
              <w:rPr>
                <w:rStyle w:val="Hyperlink"/>
              </w:rPr>
              <w:t>Work package 1 – Local Community Development for Innovation, Education, Business Creation</w:t>
            </w:r>
            <w:r>
              <w:tab/>
            </w:r>
            <w:r>
              <w:fldChar w:fldCharType="begin"/>
            </w:r>
            <w:r>
              <w:instrText>PAGEREF _Toc195922398 \h</w:instrText>
            </w:r>
            <w:r>
              <w:fldChar w:fldCharType="separate"/>
            </w:r>
            <w:r w:rsidR="00417248">
              <w:t>68</w:t>
            </w:r>
            <w:r>
              <w:fldChar w:fldCharType="end"/>
            </w:r>
          </w:hyperlink>
        </w:p>
        <w:p w14:paraId="2CB3AB64" w14:textId="14FB93F3" w:rsidR="00423AF0" w:rsidRDefault="00423AF0" w:rsidP="00423AF0">
          <w:pPr>
            <w:pStyle w:val="TOC2"/>
            <w:tabs>
              <w:tab w:val="right" w:leader="dot" w:pos="9345"/>
            </w:tabs>
            <w:rPr>
              <w:rStyle w:val="Hyperlink"/>
              <w:lang w:eastAsia="en-GB"/>
            </w:rPr>
          </w:pPr>
          <w:hyperlink w:anchor="_Toc2088306111">
            <w:r w:rsidRPr="636C4F36">
              <w:rPr>
                <w:rStyle w:val="Hyperlink"/>
              </w:rPr>
              <w:t>Work package 2 – Business Development for Financial sustainability</w:t>
            </w:r>
            <w:r>
              <w:tab/>
            </w:r>
            <w:r>
              <w:fldChar w:fldCharType="begin"/>
            </w:r>
            <w:r>
              <w:instrText>PAGEREF _Toc2088306111 \h</w:instrText>
            </w:r>
            <w:r>
              <w:fldChar w:fldCharType="separate"/>
            </w:r>
            <w:r w:rsidR="00417248">
              <w:t>68</w:t>
            </w:r>
            <w:r>
              <w:fldChar w:fldCharType="end"/>
            </w:r>
          </w:hyperlink>
        </w:p>
        <w:p w14:paraId="03C2F83E" w14:textId="2976651D" w:rsidR="00423AF0" w:rsidRDefault="00423AF0" w:rsidP="00423AF0">
          <w:pPr>
            <w:pStyle w:val="TOC2"/>
            <w:tabs>
              <w:tab w:val="right" w:leader="dot" w:pos="9345"/>
            </w:tabs>
            <w:rPr>
              <w:rStyle w:val="Hyperlink"/>
              <w:lang w:eastAsia="en-GB"/>
            </w:rPr>
          </w:pPr>
          <w:hyperlink w:anchor="_Toc592985769">
            <w:r w:rsidRPr="636C4F36">
              <w:rPr>
                <w:rStyle w:val="Hyperlink"/>
              </w:rPr>
              <w:t>Work package 3 – External fundraising for additional activities of the EIT Community Hub contributing to EIT KPIs</w:t>
            </w:r>
            <w:r>
              <w:tab/>
            </w:r>
            <w:r>
              <w:fldChar w:fldCharType="begin"/>
            </w:r>
            <w:r>
              <w:instrText>PAGEREF _Toc592985769 \h</w:instrText>
            </w:r>
            <w:r>
              <w:fldChar w:fldCharType="separate"/>
            </w:r>
            <w:r w:rsidR="00417248">
              <w:t>69</w:t>
            </w:r>
            <w:r>
              <w:fldChar w:fldCharType="end"/>
            </w:r>
          </w:hyperlink>
        </w:p>
        <w:p w14:paraId="69BA1EFD" w14:textId="4C334F3E" w:rsidR="00423AF0" w:rsidRDefault="00423AF0" w:rsidP="00423AF0">
          <w:pPr>
            <w:pStyle w:val="TOC2"/>
            <w:tabs>
              <w:tab w:val="right" w:leader="dot" w:pos="9345"/>
            </w:tabs>
            <w:rPr>
              <w:rStyle w:val="Hyperlink"/>
              <w:lang w:eastAsia="en-GB"/>
            </w:rPr>
          </w:pPr>
          <w:hyperlink w:anchor="_Toc2102295572">
            <w:r w:rsidRPr="636C4F36">
              <w:rPr>
                <w:rStyle w:val="Hyperlink"/>
              </w:rPr>
              <w:t>4.2. Optional activities</w:t>
            </w:r>
            <w:r>
              <w:tab/>
            </w:r>
            <w:r>
              <w:fldChar w:fldCharType="begin"/>
            </w:r>
            <w:r>
              <w:instrText>PAGEREF _Toc2102295572 \h</w:instrText>
            </w:r>
            <w:r>
              <w:fldChar w:fldCharType="separate"/>
            </w:r>
            <w:r w:rsidR="00417248">
              <w:t>69</w:t>
            </w:r>
            <w:r>
              <w:fldChar w:fldCharType="end"/>
            </w:r>
          </w:hyperlink>
        </w:p>
        <w:p w14:paraId="2443C028" w14:textId="60033483" w:rsidR="00423AF0" w:rsidRDefault="00423AF0" w:rsidP="00423AF0">
          <w:pPr>
            <w:pStyle w:val="TOC1"/>
            <w:tabs>
              <w:tab w:val="left" w:pos="435"/>
              <w:tab w:val="right" w:leader="dot" w:pos="9345"/>
            </w:tabs>
            <w:rPr>
              <w:rStyle w:val="Hyperlink"/>
              <w:lang w:eastAsia="en-GB"/>
            </w:rPr>
          </w:pPr>
          <w:hyperlink w:anchor="_Toc2099486536">
            <w:r w:rsidRPr="636C4F36">
              <w:rPr>
                <w:rStyle w:val="Hyperlink"/>
              </w:rPr>
              <w:t>5.</w:t>
            </w:r>
            <w:r>
              <w:tab/>
            </w:r>
            <w:r w:rsidRPr="636C4F36">
              <w:rPr>
                <w:rStyle w:val="Hyperlink"/>
              </w:rPr>
              <w:t>Performance monitoring and assessment</w:t>
            </w:r>
            <w:r>
              <w:tab/>
            </w:r>
            <w:r>
              <w:fldChar w:fldCharType="begin"/>
            </w:r>
            <w:r>
              <w:instrText>PAGEREF _Toc2099486536 \h</w:instrText>
            </w:r>
            <w:r>
              <w:fldChar w:fldCharType="separate"/>
            </w:r>
            <w:r w:rsidR="00417248">
              <w:t>70</w:t>
            </w:r>
            <w:r>
              <w:fldChar w:fldCharType="end"/>
            </w:r>
          </w:hyperlink>
        </w:p>
        <w:p w14:paraId="562F75C1" w14:textId="53E5D2B3" w:rsidR="00423AF0" w:rsidRDefault="00423AF0" w:rsidP="00423AF0">
          <w:pPr>
            <w:pStyle w:val="TOC1"/>
            <w:tabs>
              <w:tab w:val="right" w:leader="dot" w:pos="9345"/>
            </w:tabs>
            <w:rPr>
              <w:rStyle w:val="Hyperlink"/>
            </w:rPr>
          </w:pPr>
          <w:hyperlink w:anchor="_Toc925962201">
            <w:r w:rsidRPr="636C4F36">
              <w:rPr>
                <w:rStyle w:val="Hyperlink"/>
              </w:rPr>
              <w:t>Appendix 1. Glossary</w:t>
            </w:r>
            <w:r>
              <w:tab/>
            </w:r>
            <w:r>
              <w:fldChar w:fldCharType="begin"/>
            </w:r>
            <w:r>
              <w:instrText>PAGEREF _Toc925962201 \h</w:instrText>
            </w:r>
            <w:r>
              <w:fldChar w:fldCharType="separate"/>
            </w:r>
            <w:r w:rsidR="00417248">
              <w:t>71</w:t>
            </w:r>
            <w:r>
              <w:fldChar w:fldCharType="end"/>
            </w:r>
          </w:hyperlink>
        </w:p>
        <w:p w14:paraId="75C541EE" w14:textId="269B87BF" w:rsidR="00423AF0" w:rsidRDefault="00423AF0" w:rsidP="00423AF0">
          <w:pPr>
            <w:pStyle w:val="TOC1"/>
            <w:tabs>
              <w:tab w:val="right" w:leader="dot" w:pos="9345"/>
            </w:tabs>
            <w:rPr>
              <w:rStyle w:val="Hyperlink"/>
            </w:rPr>
          </w:pPr>
          <w:hyperlink w:anchor="_Toc506487549">
            <w:r w:rsidRPr="636C4F36">
              <w:rPr>
                <w:rStyle w:val="Hyperlink"/>
              </w:rPr>
              <w:t>Appendix 2. EIT Core KPIs</w:t>
            </w:r>
            <w:r>
              <w:tab/>
            </w:r>
            <w:r>
              <w:fldChar w:fldCharType="begin"/>
            </w:r>
            <w:r>
              <w:instrText>PAGEREF _Toc506487549 \h</w:instrText>
            </w:r>
            <w:r>
              <w:fldChar w:fldCharType="separate"/>
            </w:r>
            <w:r w:rsidR="00417248">
              <w:rPr>
                <w:b w:val="0"/>
                <w:bCs/>
              </w:rPr>
              <w:t>Error! Bookmark not defined.</w:t>
            </w:r>
            <w:r>
              <w:fldChar w:fldCharType="end"/>
            </w:r>
          </w:hyperlink>
          <w:r>
            <w:fldChar w:fldCharType="end"/>
          </w:r>
        </w:p>
      </w:sdtContent>
    </w:sdt>
    <w:p w14:paraId="2B7F38FB" w14:textId="77777777" w:rsidR="00423AF0" w:rsidRDefault="00423AF0" w:rsidP="00423AF0">
      <w:pPr>
        <w:pStyle w:val="TOC1"/>
        <w:tabs>
          <w:tab w:val="right" w:leader="dot" w:pos="9345"/>
        </w:tabs>
        <w:rPr>
          <w:rStyle w:val="Hyperlink"/>
          <w:rFonts w:ascii="Titillium" w:eastAsia="Titillium" w:hAnsi="Titillium" w:cs="Titillium"/>
        </w:rPr>
      </w:pPr>
    </w:p>
    <w:p w14:paraId="4AB9AFDA" w14:textId="77777777" w:rsidR="00423AF0" w:rsidRPr="002D3C58" w:rsidRDefault="00423AF0" w:rsidP="00423AF0">
      <w:pPr>
        <w:rPr>
          <w:rFonts w:ascii="Titillium" w:eastAsia="Titillium" w:hAnsi="Titillium" w:cs="Titillium"/>
        </w:rPr>
      </w:pPr>
    </w:p>
    <w:p w14:paraId="509C20A7" w14:textId="77777777" w:rsidR="00423AF0" w:rsidRPr="002D3C58" w:rsidRDefault="00423AF0" w:rsidP="00423AF0">
      <w:pPr>
        <w:rPr>
          <w:rFonts w:ascii="Titillium" w:eastAsia="Titillium" w:hAnsi="Titillium" w:cs="Titillium"/>
        </w:rPr>
      </w:pPr>
    </w:p>
    <w:p w14:paraId="109D7412" w14:textId="77777777" w:rsidR="00423AF0" w:rsidRDefault="00423AF0" w:rsidP="00423AF0">
      <w:pPr>
        <w:rPr>
          <w:rFonts w:ascii="Titillium" w:eastAsia="Titillium" w:hAnsi="Titillium" w:cs="Titillium"/>
        </w:rPr>
      </w:pPr>
    </w:p>
    <w:p w14:paraId="037AA25F" w14:textId="77777777" w:rsidR="00423AF0" w:rsidRDefault="00423AF0" w:rsidP="00423AF0">
      <w:pPr>
        <w:rPr>
          <w:rFonts w:ascii="Titillium" w:eastAsia="Titillium" w:hAnsi="Titillium" w:cs="Titillium"/>
        </w:rPr>
      </w:pPr>
    </w:p>
    <w:p w14:paraId="12B3C319" w14:textId="77777777" w:rsidR="00423AF0" w:rsidRDefault="00423AF0" w:rsidP="00423AF0">
      <w:pPr>
        <w:rPr>
          <w:rFonts w:ascii="Titillium" w:eastAsia="Titillium" w:hAnsi="Titillium" w:cs="Titillium"/>
          <w:b/>
          <w:bCs/>
          <w:color w:val="23A2E4" w:themeColor="accent1" w:themeShade="BF"/>
          <w:sz w:val="44"/>
          <w:szCs w:val="44"/>
        </w:rPr>
      </w:pPr>
      <w:r w:rsidRPr="636C4F36">
        <w:rPr>
          <w:rFonts w:ascii="Titillium" w:eastAsia="Titillium" w:hAnsi="Titillium" w:cs="Titillium"/>
        </w:rPr>
        <w:br w:type="page"/>
      </w:r>
    </w:p>
    <w:p w14:paraId="03180107" w14:textId="102CAA07" w:rsidR="00825D72" w:rsidRPr="00E163C8" w:rsidRDefault="00825D72" w:rsidP="7295751F">
      <w:pPr>
        <w:jc w:val="both"/>
        <w:rPr>
          <w:rFonts w:asciiTheme="minorHAnsi" w:hAnsiTheme="minorHAnsi"/>
          <w:b/>
          <w:bCs/>
          <w:sz w:val="24"/>
          <w:szCs w:val="24"/>
          <w:lang w:val="en-US"/>
        </w:rPr>
      </w:pPr>
      <w:r w:rsidRPr="7295751F">
        <w:rPr>
          <w:rFonts w:asciiTheme="minorHAnsi" w:hAnsiTheme="minorHAnsi"/>
          <w:b/>
          <w:bCs/>
          <w:sz w:val="24"/>
          <w:szCs w:val="24"/>
          <w:lang w:val="en-US"/>
        </w:rPr>
        <w:lastRenderedPageBreak/>
        <w:t xml:space="preserve">Introduction </w:t>
      </w:r>
    </w:p>
    <w:p w14:paraId="4492DF94" w14:textId="77777777" w:rsidR="00423AF0" w:rsidRPr="002D3C58" w:rsidRDefault="00423AF0" w:rsidP="00423AF0">
      <w:pPr>
        <w:jc w:val="both"/>
        <w:rPr>
          <w:rFonts w:ascii="Titillium" w:eastAsia="Titillium" w:hAnsi="Titillium" w:cs="Titillium"/>
        </w:rPr>
      </w:pPr>
      <w:r w:rsidRPr="1F95E526">
        <w:rPr>
          <w:rFonts w:ascii="Titillium" w:eastAsia="Titillium" w:hAnsi="Titillium" w:cs="Titillium"/>
        </w:rPr>
        <w:t>The European Institute of Innovation and Technology (EIT) Strategic Innovation Agenda 2021-2027 (</w:t>
      </w:r>
      <w:hyperlink r:id="rId27">
        <w:r w:rsidRPr="636C4F36">
          <w:rPr>
            <w:rStyle w:val="Hyperlink"/>
            <w:rFonts w:ascii="Titillium" w:eastAsia="Titillium" w:hAnsi="Titillium" w:cs="Titillium"/>
            <w:sz w:val="22"/>
          </w:rPr>
          <w:t>Decision - 2021/820 - EN - EUR-Lex</w:t>
        </w:r>
      </w:hyperlink>
      <w:r w:rsidRPr="636C4F36">
        <w:rPr>
          <w:rFonts w:ascii="Titillium" w:eastAsia="Titillium" w:hAnsi="Titillium" w:cs="Titillium"/>
          <w:color w:val="auto"/>
          <w:sz w:val="22"/>
        </w:rPr>
        <w:t>) designates</w:t>
      </w:r>
      <w:r w:rsidRPr="1F95E526">
        <w:rPr>
          <w:rFonts w:ascii="Titillium" w:eastAsia="Titillium" w:hAnsi="Titillium" w:cs="Titillium"/>
        </w:rPr>
        <w:t xml:space="preserve"> “increasing the regional impact of the EIT KICs” through an enhanced EIT Regional Innovation Scheme (RIS), reinforced with a significantly stronger mandate and additional financial resources, as a key, EIT priority. While this recognises the Scheme’s success since its establishment, expectations on the EIT RIS to deliver increasing levels of impact in line with the EIT’s objectives remain high. To meet these expectations, the EIT RIS needs an “all hands on deck” approach, with the whole EIT Community working together towards a common goal. In particular, it must be ensured that the 27</w:t>
      </w:r>
      <w:r w:rsidRPr="1F95E526">
        <w:rPr>
          <w:rStyle w:val="FootnoteReference"/>
          <w:rFonts w:ascii="Titillium" w:eastAsia="Titillium" w:hAnsi="Titillium" w:cs="Titillium"/>
        </w:rPr>
        <w:footnoteReference w:id="3"/>
      </w:r>
      <w:r w:rsidRPr="1F95E526">
        <w:rPr>
          <w:rFonts w:ascii="Titillium" w:eastAsia="Titillium" w:hAnsi="Titillium" w:cs="Titillium"/>
        </w:rPr>
        <w:t xml:space="preserve"> EIT Community Hubs established by 2026 in RIS countries, the outermost regions and in a neighbouring country, with their unique, on-the-ground presence, strongly contribute to the EIT’s objectives and Key Performance Indicators (KPIs).</w:t>
      </w:r>
    </w:p>
    <w:p w14:paraId="519802E3" w14:textId="77777777" w:rsidR="00423AF0" w:rsidRDefault="00423AF0" w:rsidP="00423AF0">
      <w:pPr>
        <w:jc w:val="both"/>
        <w:rPr>
          <w:rFonts w:ascii="Titillium" w:eastAsia="Titillium" w:hAnsi="Titillium" w:cs="Titillium"/>
        </w:rPr>
      </w:pPr>
      <w:r w:rsidRPr="636C4F36">
        <w:rPr>
          <w:rFonts w:ascii="Titillium" w:eastAsia="Titillium" w:hAnsi="Titillium" w:cs="Titillium"/>
        </w:rPr>
        <w:t xml:space="preserve">The </w:t>
      </w:r>
      <w:r w:rsidRPr="636C4F36">
        <w:rPr>
          <w:rFonts w:ascii="Titillium" w:eastAsia="Titillium" w:hAnsi="Titillium" w:cs="Titillium"/>
          <w:sz w:val="22"/>
        </w:rPr>
        <w:t>“</w:t>
      </w:r>
      <w:hyperlink r:id="rId28">
        <w:r w:rsidRPr="636C4F36">
          <w:rPr>
            <w:rStyle w:val="Hyperlink"/>
            <w:rFonts w:ascii="Titillium" w:eastAsia="Titillium" w:hAnsi="Titillium" w:cs="Titillium"/>
            <w:color w:val="0000EE"/>
            <w:sz w:val="22"/>
            <w:lang w:val="en-US"/>
          </w:rPr>
          <w:t>EIT RIS Implementation Framework (Updated 2025-2027).pdf</w:t>
        </w:r>
      </w:hyperlink>
      <w:r w:rsidRPr="636C4F36">
        <w:rPr>
          <w:rFonts w:ascii="Titillium" w:eastAsia="Titillium" w:hAnsi="Titillium" w:cs="Titillium"/>
          <w:sz w:val="22"/>
        </w:rPr>
        <w:t>”</w:t>
      </w:r>
      <w:r w:rsidRPr="636C4F36">
        <w:rPr>
          <w:rFonts w:ascii="Titillium" w:eastAsia="Titillium" w:hAnsi="Titillium" w:cs="Titillium"/>
        </w:rPr>
        <w:t xml:space="preserve"> outlines the mission, the minimum functions, the structure of the EIT Community Hub Members and the tasks and responsibilities of the EIT Community Officers serving the EIT Community Hubs. </w:t>
      </w:r>
    </w:p>
    <w:p w14:paraId="0E0403E1" w14:textId="6314E91D" w:rsidR="00825D72" w:rsidRPr="00825D72" w:rsidRDefault="00825D72" w:rsidP="7295751F">
      <w:pPr>
        <w:jc w:val="both"/>
        <w:rPr>
          <w:rFonts w:asciiTheme="minorHAnsi" w:hAnsiTheme="minorHAnsi"/>
          <w:b/>
          <w:bCs/>
          <w:sz w:val="24"/>
          <w:szCs w:val="24"/>
          <w:lang w:val="en-US"/>
        </w:rPr>
      </w:pPr>
      <w:r w:rsidRPr="7295751F">
        <w:rPr>
          <w:rFonts w:asciiTheme="minorHAnsi" w:hAnsiTheme="minorHAnsi"/>
          <w:b/>
          <w:bCs/>
          <w:sz w:val="24"/>
          <w:szCs w:val="24"/>
          <w:lang w:val="en-US"/>
        </w:rPr>
        <w:t>Scope</w:t>
      </w:r>
    </w:p>
    <w:p w14:paraId="3859B4D6" w14:textId="0A55860B" w:rsidR="00423AF0" w:rsidRPr="00601459" w:rsidRDefault="00423AF0" w:rsidP="00423AF0">
      <w:pPr>
        <w:jc w:val="both"/>
        <w:rPr>
          <w:rFonts w:ascii="Titillium" w:eastAsia="Titillium" w:hAnsi="Titillium" w:cs="Titillium"/>
        </w:rPr>
      </w:pPr>
      <w:r w:rsidRPr="636C4F36">
        <w:rPr>
          <w:rFonts w:ascii="Titillium" w:eastAsia="Titillium" w:hAnsi="Titillium" w:cs="Titillium"/>
        </w:rPr>
        <w:t xml:space="preserve">The scope of this document is to provide a structured set of guidelines for the EIT Community Officers in planning and implementing their annual activities, and define their monitoring and evaluation system by defining the key performance indicators (KPIs), which are meant to support and contribute to the EIT Impact Framework KPIs. The guide also defines mandatory and optional activities for the EIT Community Officers to enhance their impact on the local EIT Community. Minimally expected target values are also determined, the monitoring process, and a final evaluation score is defined. </w:t>
      </w:r>
      <w:r w:rsidRPr="636C4F36">
        <w:rPr>
          <w:rFonts w:ascii="Titillium" w:eastAsia="Titillium" w:hAnsi="Titillium" w:cs="Titillium"/>
          <w:color w:val="auto"/>
          <w:sz w:val="22"/>
        </w:rPr>
        <w:t>The nature of this system presents enough flexibility to implement it not only to EIT Community Officers in RIS countries, but eventually to potential EIT Community Officers established in other geographies.</w:t>
      </w:r>
    </w:p>
    <w:p w14:paraId="647B43BE" w14:textId="77777777" w:rsidR="00423AF0" w:rsidRPr="00601459" w:rsidRDefault="00423AF0" w:rsidP="00423AF0">
      <w:pPr>
        <w:jc w:val="both"/>
        <w:rPr>
          <w:rFonts w:ascii="Titillium" w:eastAsia="Titillium" w:hAnsi="Titillium" w:cs="Titillium"/>
        </w:rPr>
      </w:pPr>
      <w:r w:rsidRPr="636C4F36">
        <w:rPr>
          <w:rFonts w:ascii="Titillium" w:eastAsia="Titillium" w:hAnsi="Titillium" w:cs="Titillium"/>
        </w:rPr>
        <w:t>This document will come into force on 1 January 2026 and will supersede the previous ECO monitoring and evaluation guidelines 2023-2025. The revision of this document is expected in the first quarter of each year, starting in 2027.</w:t>
      </w:r>
    </w:p>
    <w:p w14:paraId="67E2AD3B" w14:textId="77777777" w:rsidR="00423AF0" w:rsidRPr="00D90AD3" w:rsidRDefault="00423AF0" w:rsidP="7295751F">
      <w:pPr>
        <w:jc w:val="both"/>
        <w:rPr>
          <w:rFonts w:asciiTheme="minorHAnsi" w:hAnsiTheme="minorHAnsi"/>
          <w:b/>
          <w:bCs/>
          <w:sz w:val="24"/>
          <w:szCs w:val="24"/>
          <w:lang w:val="en-US"/>
        </w:rPr>
      </w:pPr>
      <w:bookmarkStart w:id="72" w:name="_Toc1569198192"/>
      <w:bookmarkStart w:id="73" w:name="_Toc205312695"/>
      <w:r w:rsidRPr="7295751F">
        <w:rPr>
          <w:rFonts w:asciiTheme="minorHAnsi" w:hAnsiTheme="minorHAnsi"/>
          <w:b/>
          <w:bCs/>
          <w:sz w:val="24"/>
          <w:szCs w:val="24"/>
          <w:lang w:val="en-US"/>
        </w:rPr>
        <w:t>Work packages and key performance indicators</w:t>
      </w:r>
      <w:bookmarkEnd w:id="72"/>
      <w:bookmarkEnd w:id="73"/>
    </w:p>
    <w:p w14:paraId="7E1CAF22" w14:textId="77777777" w:rsidR="00423AF0" w:rsidRPr="00423AF0" w:rsidRDefault="00423AF0" w:rsidP="00423AF0">
      <w:pPr>
        <w:pStyle w:val="NoSpacing"/>
        <w:jc w:val="both"/>
        <w:rPr>
          <w:rFonts w:ascii="Titillium" w:eastAsia="Titillium" w:hAnsi="Titillium" w:cs="Titillium"/>
          <w:b/>
          <w:bCs/>
          <w:lang w:val="en-GB"/>
        </w:rPr>
      </w:pPr>
    </w:p>
    <w:p w14:paraId="2D77B17A" w14:textId="77777777" w:rsidR="00423AF0" w:rsidRPr="00890C5C" w:rsidRDefault="00423AF0" w:rsidP="00423AF0">
      <w:pPr>
        <w:jc w:val="both"/>
        <w:rPr>
          <w:rFonts w:ascii="Titillium" w:eastAsia="Titillium" w:hAnsi="Titillium" w:cs="Titillium"/>
        </w:rPr>
      </w:pPr>
      <w:r w:rsidRPr="636C4F36">
        <w:rPr>
          <w:rFonts w:ascii="Titillium" w:eastAsia="Titillium" w:hAnsi="Titillium" w:cs="Titillium"/>
        </w:rPr>
        <w:t xml:space="preserve">The EIT RIS Implementation Framework has defined a comprehensive list of functions that the EIT Community Officer is expected to undertake. Some tasks are administrative, while others refer to an objective explicitly, where measurable targets can be defined. The Cluster`s approach to define the </w:t>
      </w:r>
      <w:r w:rsidRPr="636C4F36">
        <w:rPr>
          <w:rFonts w:ascii="Titillium" w:eastAsia="Titillium" w:hAnsi="Titillium" w:cs="Titillium"/>
          <w:b/>
          <w:bCs/>
        </w:rPr>
        <w:t>EIT Community Officers Key Performance Indicators (EITECO KPI)</w:t>
      </w:r>
      <w:r w:rsidRPr="636C4F36">
        <w:rPr>
          <w:rFonts w:ascii="Titillium" w:eastAsia="Titillium" w:hAnsi="Titillium" w:cs="Titillium"/>
        </w:rPr>
        <w:t xml:space="preserve"> is in line with the strategic objective of the EIT, and was set to measure the direct contribution of the EIT Community Officers to the broader EIT Impact Framework KPIs. The ECO indicators are focusing both on supporting the Regional Innovations and Internationalisation (RI&amp;I) Cluster activities and on contributing to the individual KIC’s impact and financial sustainability).  Each key performance indicator has a subset of strands that provides more detail for the implementation. </w:t>
      </w:r>
    </w:p>
    <w:p w14:paraId="63E04E30" w14:textId="77777777" w:rsidR="00423AF0" w:rsidRPr="00890C5C" w:rsidRDefault="00423AF0" w:rsidP="00423AF0">
      <w:pPr>
        <w:jc w:val="both"/>
        <w:rPr>
          <w:rFonts w:ascii="Titillium" w:eastAsia="Titillium" w:hAnsi="Titillium" w:cs="Titillium"/>
        </w:rPr>
      </w:pPr>
      <w:r w:rsidRPr="636C4F36">
        <w:rPr>
          <w:rFonts w:ascii="Titillium" w:eastAsia="Titillium" w:hAnsi="Titillium" w:cs="Titillium"/>
        </w:rPr>
        <w:lastRenderedPageBreak/>
        <w:t xml:space="preserve">EIT Community Officers’ KPIs have been developed and approved by the representatives of the RI&amp;I Cluster, leveraging the experience of 2 years of ECO deployments, and after a series of workshops and consensus meetings conducted during June and July 2025. The EITECO KPIs are defined as SMART (specific, measurable, achievable, relevant, and time bound) indicators and represent an evolution from the previous ECO KPI list set up and used in the Business Plan 2023-2025. The ECO KPIs and tasks are organised into 4 work packages.  </w:t>
      </w:r>
    </w:p>
    <w:p w14:paraId="2F248279" w14:textId="77777777" w:rsidR="00423AF0" w:rsidRPr="00890C5C" w:rsidRDefault="00423AF0" w:rsidP="00423AF0">
      <w:pPr>
        <w:jc w:val="both"/>
        <w:rPr>
          <w:rFonts w:ascii="Titillium" w:eastAsia="Titillium" w:hAnsi="Titillium" w:cs="Titillium"/>
        </w:rPr>
      </w:pPr>
    </w:p>
    <w:tbl>
      <w:tblPr>
        <w:tblStyle w:val="TableGrid"/>
        <w:tblW w:w="9351" w:type="dxa"/>
        <w:tblLook w:val="04A0" w:firstRow="1" w:lastRow="0" w:firstColumn="1" w:lastColumn="0" w:noHBand="0" w:noVBand="1"/>
      </w:tblPr>
      <w:tblGrid>
        <w:gridCol w:w="2311"/>
        <w:gridCol w:w="3520"/>
        <w:gridCol w:w="3520"/>
      </w:tblGrid>
      <w:tr w:rsidR="00423AF0" w14:paraId="647663CF" w14:textId="77777777" w:rsidTr="003379AC">
        <w:trPr>
          <w:trHeight w:val="300"/>
        </w:trPr>
        <w:tc>
          <w:tcPr>
            <w:tcW w:w="1665" w:type="dxa"/>
            <w:shd w:val="clear" w:color="auto" w:fill="002060"/>
          </w:tcPr>
          <w:p w14:paraId="26AE192D" w14:textId="77777777" w:rsidR="00423AF0" w:rsidRDefault="00423AF0" w:rsidP="003379AC">
            <w:pPr>
              <w:rPr>
                <w:rFonts w:ascii="Titillium" w:eastAsia="Titillium" w:hAnsi="Titillium" w:cs="Titillium"/>
                <w:b/>
                <w:bCs/>
                <w:color w:val="FFFFFF" w:themeColor="background1"/>
                <w:sz w:val="16"/>
                <w:szCs w:val="16"/>
              </w:rPr>
            </w:pPr>
            <w:r w:rsidRPr="636C4F36">
              <w:rPr>
                <w:rFonts w:ascii="Titillium" w:eastAsia="Titillium" w:hAnsi="Titillium" w:cs="Titillium"/>
                <w:b/>
                <w:bCs/>
                <w:color w:val="FFFFFF" w:themeColor="background1"/>
                <w:sz w:val="16"/>
                <w:szCs w:val="16"/>
              </w:rPr>
              <w:t>Work Packages</w:t>
            </w:r>
          </w:p>
        </w:tc>
        <w:tc>
          <w:tcPr>
            <w:tcW w:w="7686" w:type="dxa"/>
            <w:gridSpan w:val="2"/>
            <w:shd w:val="clear" w:color="auto" w:fill="002060"/>
          </w:tcPr>
          <w:p w14:paraId="00089630" w14:textId="77777777" w:rsidR="00423AF0" w:rsidRDefault="00423AF0" w:rsidP="003379AC">
            <w:pPr>
              <w:jc w:val="center"/>
              <w:rPr>
                <w:rFonts w:ascii="Titillium" w:eastAsia="Titillium" w:hAnsi="Titillium" w:cs="Titillium"/>
                <w:b/>
                <w:bCs/>
                <w:color w:val="FFFFFF" w:themeColor="background1"/>
                <w:sz w:val="16"/>
                <w:szCs w:val="16"/>
              </w:rPr>
            </w:pPr>
            <w:r w:rsidRPr="62283C19">
              <w:rPr>
                <w:rFonts w:ascii="Titillium" w:eastAsia="Titillium" w:hAnsi="Titillium" w:cs="Titillium"/>
                <w:b/>
                <w:bCs/>
                <w:color w:val="FFFFFF" w:themeColor="background1"/>
                <w:sz w:val="16"/>
                <w:szCs w:val="16"/>
              </w:rPr>
              <w:t xml:space="preserve">Key Performance </w:t>
            </w:r>
            <w:proofErr w:type="spellStart"/>
            <w:r w:rsidRPr="62283C19">
              <w:rPr>
                <w:rFonts w:ascii="Titillium" w:eastAsia="Titillium" w:hAnsi="Titillium" w:cs="Titillium"/>
                <w:b/>
                <w:bCs/>
                <w:color w:val="FFFFFF" w:themeColor="background1"/>
                <w:sz w:val="16"/>
                <w:szCs w:val="16"/>
              </w:rPr>
              <w:t>Indicators</w:t>
            </w:r>
            <w:proofErr w:type="spellEnd"/>
          </w:p>
        </w:tc>
      </w:tr>
      <w:tr w:rsidR="00423AF0" w14:paraId="7240E510" w14:textId="77777777" w:rsidTr="003379AC">
        <w:trPr>
          <w:trHeight w:val="300"/>
        </w:trPr>
        <w:tc>
          <w:tcPr>
            <w:tcW w:w="1665" w:type="dxa"/>
          </w:tcPr>
          <w:p w14:paraId="2CDFFB21" w14:textId="77777777" w:rsidR="00423AF0" w:rsidRDefault="00423AF0" w:rsidP="003379AC">
            <w:pPr>
              <w:rPr>
                <w:rFonts w:ascii="Titillium" w:eastAsia="Titillium" w:hAnsi="Titillium" w:cs="Titillium"/>
                <w:b/>
                <w:bCs/>
                <w:sz w:val="16"/>
                <w:szCs w:val="16"/>
              </w:rPr>
            </w:pPr>
            <w:r w:rsidRPr="636C4F36">
              <w:rPr>
                <w:rFonts w:ascii="Titillium" w:eastAsia="Titillium" w:hAnsi="Titillium" w:cs="Titillium"/>
                <w:b/>
                <w:bCs/>
                <w:sz w:val="16"/>
                <w:szCs w:val="16"/>
              </w:rPr>
              <w:t xml:space="preserve">WP0 Administration and </w:t>
            </w:r>
            <w:proofErr w:type="spellStart"/>
            <w:r w:rsidRPr="636C4F36">
              <w:rPr>
                <w:rFonts w:ascii="Titillium" w:eastAsia="Titillium" w:hAnsi="Titillium" w:cs="Titillium"/>
                <w:b/>
                <w:bCs/>
                <w:sz w:val="16"/>
                <w:szCs w:val="16"/>
              </w:rPr>
              <w:t>Coordination</w:t>
            </w:r>
            <w:proofErr w:type="spellEnd"/>
          </w:p>
        </w:tc>
        <w:tc>
          <w:tcPr>
            <w:tcW w:w="7686" w:type="dxa"/>
            <w:gridSpan w:val="2"/>
            <w:vAlign w:val="center"/>
          </w:tcPr>
          <w:p w14:paraId="27B1FCED" w14:textId="77777777" w:rsidR="00423AF0" w:rsidRDefault="00423AF0" w:rsidP="003379AC">
            <w:pPr>
              <w:jc w:val="center"/>
              <w:rPr>
                <w:rFonts w:ascii="Titillium" w:eastAsia="Titillium" w:hAnsi="Titillium" w:cs="Titillium"/>
                <w:sz w:val="16"/>
                <w:szCs w:val="16"/>
              </w:rPr>
            </w:pPr>
            <w:proofErr w:type="spellStart"/>
            <w:r w:rsidRPr="636C4F36">
              <w:rPr>
                <w:rFonts w:ascii="Titillium" w:eastAsia="Titillium" w:hAnsi="Titillium" w:cs="Titillium"/>
                <w:sz w:val="16"/>
                <w:szCs w:val="16"/>
              </w:rPr>
              <w:t>No</w:t>
            </w:r>
            <w:proofErr w:type="spellEnd"/>
            <w:r w:rsidRPr="636C4F36">
              <w:rPr>
                <w:rFonts w:ascii="Titillium" w:eastAsia="Titillium" w:hAnsi="Titillium" w:cs="Titillium"/>
                <w:sz w:val="16"/>
                <w:szCs w:val="16"/>
              </w:rPr>
              <w:t xml:space="preserve"> </w:t>
            </w:r>
            <w:proofErr w:type="spellStart"/>
            <w:r w:rsidRPr="636C4F36">
              <w:rPr>
                <w:rFonts w:ascii="Titillium" w:eastAsia="Titillium" w:hAnsi="Titillium" w:cs="Titillium"/>
                <w:sz w:val="16"/>
                <w:szCs w:val="16"/>
              </w:rPr>
              <w:t>specific</w:t>
            </w:r>
            <w:proofErr w:type="spellEnd"/>
            <w:r w:rsidRPr="636C4F36">
              <w:rPr>
                <w:rFonts w:ascii="Titillium" w:eastAsia="Titillium" w:hAnsi="Titillium" w:cs="Titillium"/>
                <w:sz w:val="16"/>
                <w:szCs w:val="16"/>
              </w:rPr>
              <w:t xml:space="preserve"> KPI</w:t>
            </w:r>
          </w:p>
        </w:tc>
      </w:tr>
      <w:tr w:rsidR="00423AF0" w14:paraId="7AE2968A" w14:textId="77777777" w:rsidTr="003379AC">
        <w:trPr>
          <w:trHeight w:val="300"/>
        </w:trPr>
        <w:tc>
          <w:tcPr>
            <w:tcW w:w="1665" w:type="dxa"/>
          </w:tcPr>
          <w:p w14:paraId="3EA09644" w14:textId="77777777" w:rsidR="00423AF0" w:rsidRDefault="00423AF0" w:rsidP="003379AC">
            <w:pPr>
              <w:rPr>
                <w:rFonts w:ascii="Titillium" w:eastAsia="Titillium" w:hAnsi="Titillium" w:cs="Titillium"/>
                <w:b/>
                <w:bCs/>
                <w:sz w:val="16"/>
                <w:szCs w:val="16"/>
              </w:rPr>
            </w:pPr>
          </w:p>
        </w:tc>
        <w:tc>
          <w:tcPr>
            <w:tcW w:w="3843" w:type="dxa"/>
            <w:shd w:val="clear" w:color="auto" w:fill="002060"/>
          </w:tcPr>
          <w:p w14:paraId="31B1877F" w14:textId="77777777" w:rsidR="00423AF0" w:rsidRDefault="00423AF0" w:rsidP="003379AC">
            <w:pPr>
              <w:jc w:val="center"/>
              <w:rPr>
                <w:rFonts w:ascii="Titillium" w:eastAsia="Titillium" w:hAnsi="Titillium" w:cs="Titillium"/>
                <w:color w:val="FFFFFF" w:themeColor="background1"/>
                <w:sz w:val="16"/>
                <w:szCs w:val="16"/>
              </w:rPr>
            </w:pPr>
            <w:r w:rsidRPr="636C4F36">
              <w:rPr>
                <w:rFonts w:ascii="Titillium" w:eastAsia="Titillium" w:hAnsi="Titillium" w:cs="Titillium"/>
                <w:color w:val="FFFFFF" w:themeColor="background1"/>
                <w:sz w:val="16"/>
                <w:szCs w:val="16"/>
              </w:rPr>
              <w:t>RI&amp;I Cluster</w:t>
            </w:r>
          </w:p>
        </w:tc>
        <w:tc>
          <w:tcPr>
            <w:tcW w:w="3843" w:type="dxa"/>
            <w:shd w:val="clear" w:color="auto" w:fill="002060"/>
          </w:tcPr>
          <w:p w14:paraId="02A7CFFC" w14:textId="77777777" w:rsidR="00423AF0" w:rsidRDefault="00423AF0" w:rsidP="003379AC">
            <w:pPr>
              <w:jc w:val="center"/>
              <w:rPr>
                <w:rFonts w:ascii="Titillium" w:eastAsia="Titillium" w:hAnsi="Titillium" w:cs="Titillium"/>
                <w:color w:val="FFFFFF" w:themeColor="background1"/>
                <w:sz w:val="16"/>
                <w:szCs w:val="16"/>
              </w:rPr>
            </w:pPr>
            <w:r w:rsidRPr="636C4F36">
              <w:rPr>
                <w:rFonts w:ascii="Titillium" w:eastAsia="Titillium" w:hAnsi="Titillium" w:cs="Titillium"/>
                <w:color w:val="FFFFFF" w:themeColor="background1"/>
                <w:sz w:val="16"/>
                <w:szCs w:val="16"/>
              </w:rPr>
              <w:t>KICs</w:t>
            </w:r>
          </w:p>
        </w:tc>
      </w:tr>
      <w:tr w:rsidR="00423AF0" w14:paraId="68F385FE" w14:textId="77777777" w:rsidTr="003379AC">
        <w:trPr>
          <w:trHeight w:val="300"/>
        </w:trPr>
        <w:tc>
          <w:tcPr>
            <w:tcW w:w="1665" w:type="dxa"/>
          </w:tcPr>
          <w:p w14:paraId="61B61B7A" w14:textId="77777777" w:rsidR="00423AF0" w:rsidRPr="00423AF0" w:rsidRDefault="00423AF0" w:rsidP="003379AC">
            <w:pPr>
              <w:rPr>
                <w:rFonts w:ascii="Titillium" w:eastAsia="Titillium" w:hAnsi="Titillium" w:cs="Titillium"/>
                <w:b/>
                <w:bCs/>
                <w:sz w:val="16"/>
                <w:szCs w:val="16"/>
                <w:lang w:val="en-GB"/>
              </w:rPr>
            </w:pPr>
            <w:r w:rsidRPr="00423AF0">
              <w:rPr>
                <w:rFonts w:ascii="Titillium" w:eastAsia="Titillium" w:hAnsi="Titillium" w:cs="Titillium"/>
                <w:b/>
                <w:bCs/>
                <w:sz w:val="16"/>
                <w:szCs w:val="16"/>
                <w:lang w:val="en-GB"/>
              </w:rPr>
              <w:t xml:space="preserve">WP1 Local Community Development for Innovation/Education/Business Creation </w:t>
            </w:r>
          </w:p>
          <w:p w14:paraId="22490518" w14:textId="77777777" w:rsidR="00423AF0" w:rsidRPr="00423AF0" w:rsidRDefault="00423AF0" w:rsidP="003379AC">
            <w:pPr>
              <w:rPr>
                <w:rFonts w:ascii="Titillium" w:eastAsia="Titillium" w:hAnsi="Titillium" w:cs="Titillium"/>
                <w:b/>
                <w:bCs/>
                <w:sz w:val="16"/>
                <w:szCs w:val="16"/>
                <w:lang w:val="en-GB"/>
              </w:rPr>
            </w:pPr>
          </w:p>
          <w:p w14:paraId="6655212A" w14:textId="77777777" w:rsidR="00423AF0" w:rsidRPr="00423AF0" w:rsidRDefault="00423AF0" w:rsidP="003379AC">
            <w:pPr>
              <w:rPr>
                <w:rFonts w:ascii="Titillium" w:eastAsia="Titillium" w:hAnsi="Titillium" w:cs="Titillium"/>
                <w:b/>
                <w:bCs/>
                <w:sz w:val="16"/>
                <w:szCs w:val="16"/>
                <w:lang w:val="en-GB"/>
              </w:rPr>
            </w:pPr>
          </w:p>
          <w:p w14:paraId="6AE631FB" w14:textId="77777777" w:rsidR="00423AF0" w:rsidRPr="00423AF0" w:rsidRDefault="00423AF0" w:rsidP="003379AC">
            <w:pPr>
              <w:rPr>
                <w:rFonts w:ascii="Titillium" w:eastAsia="Titillium" w:hAnsi="Titillium" w:cs="Titillium"/>
                <w:b/>
                <w:bCs/>
                <w:sz w:val="16"/>
                <w:szCs w:val="16"/>
                <w:lang w:val="en-GB"/>
              </w:rPr>
            </w:pPr>
          </w:p>
          <w:p w14:paraId="1C184F57" w14:textId="77777777" w:rsidR="00423AF0" w:rsidRPr="00423AF0" w:rsidRDefault="00423AF0" w:rsidP="003379AC">
            <w:pPr>
              <w:rPr>
                <w:rFonts w:ascii="Titillium" w:eastAsia="Titillium" w:hAnsi="Titillium" w:cs="Titillium"/>
                <w:b/>
                <w:bCs/>
                <w:sz w:val="16"/>
                <w:szCs w:val="16"/>
                <w:lang w:val="en-GB"/>
              </w:rPr>
            </w:pPr>
          </w:p>
          <w:p w14:paraId="6BA87879" w14:textId="77777777" w:rsidR="00423AF0" w:rsidRPr="00423AF0" w:rsidRDefault="00423AF0" w:rsidP="003379AC">
            <w:pPr>
              <w:rPr>
                <w:rFonts w:ascii="Titillium" w:eastAsia="Titillium" w:hAnsi="Titillium" w:cs="Titillium"/>
                <w:b/>
                <w:bCs/>
                <w:sz w:val="16"/>
                <w:szCs w:val="16"/>
                <w:lang w:val="en-GB"/>
              </w:rPr>
            </w:pPr>
          </w:p>
          <w:p w14:paraId="392298D1" w14:textId="77777777" w:rsidR="00423AF0" w:rsidRPr="00423AF0" w:rsidRDefault="00423AF0" w:rsidP="003379AC">
            <w:pPr>
              <w:rPr>
                <w:rFonts w:ascii="Titillium" w:eastAsia="Titillium" w:hAnsi="Titillium" w:cs="Titillium"/>
                <w:b/>
                <w:bCs/>
                <w:sz w:val="16"/>
                <w:szCs w:val="16"/>
                <w:lang w:val="en-GB"/>
              </w:rPr>
            </w:pPr>
          </w:p>
          <w:p w14:paraId="7F4D6243" w14:textId="77777777" w:rsidR="00423AF0" w:rsidRPr="00423AF0" w:rsidRDefault="00423AF0" w:rsidP="003379AC">
            <w:pPr>
              <w:rPr>
                <w:rFonts w:ascii="Titillium" w:eastAsia="Titillium" w:hAnsi="Titillium" w:cs="Titillium"/>
                <w:b/>
                <w:bCs/>
                <w:sz w:val="16"/>
                <w:szCs w:val="16"/>
                <w:lang w:val="en-GB"/>
              </w:rPr>
            </w:pPr>
          </w:p>
          <w:p w14:paraId="56BFAA76" w14:textId="77777777" w:rsidR="00423AF0" w:rsidRPr="00423AF0" w:rsidRDefault="00423AF0" w:rsidP="003379AC">
            <w:pPr>
              <w:rPr>
                <w:rFonts w:ascii="Titillium" w:eastAsia="Titillium" w:hAnsi="Titillium" w:cs="Titillium"/>
                <w:sz w:val="16"/>
                <w:szCs w:val="16"/>
                <w:lang w:val="en-GB"/>
              </w:rPr>
            </w:pPr>
            <w:r w:rsidRPr="00423AF0">
              <w:rPr>
                <w:rFonts w:ascii="Titillium" w:eastAsia="Titillium" w:hAnsi="Titillium" w:cs="Titillium"/>
                <w:sz w:val="16"/>
                <w:szCs w:val="16"/>
                <w:lang w:val="en-GB"/>
              </w:rPr>
              <w:t>* only applicable in RIB pilot countries.</w:t>
            </w:r>
          </w:p>
        </w:tc>
        <w:tc>
          <w:tcPr>
            <w:tcW w:w="3843" w:type="dxa"/>
          </w:tcPr>
          <w:p w14:paraId="11FB501B" w14:textId="77777777" w:rsidR="00423AF0" w:rsidRPr="00423AF0" w:rsidRDefault="00423AF0" w:rsidP="003379AC">
            <w:pPr>
              <w:jc w:val="both"/>
              <w:rPr>
                <w:rFonts w:ascii="Titillium" w:eastAsia="Titillium" w:hAnsi="Titillium" w:cs="Titillium"/>
                <w:sz w:val="16"/>
                <w:szCs w:val="16"/>
                <w:lang w:val="en-GB"/>
              </w:rPr>
            </w:pPr>
            <w:r w:rsidRPr="00423AF0">
              <w:rPr>
                <w:rFonts w:ascii="Titillium" w:eastAsia="Titillium" w:hAnsi="Titillium" w:cs="Titillium"/>
                <w:sz w:val="16"/>
                <w:szCs w:val="16"/>
                <w:lang w:val="en-GB"/>
              </w:rPr>
              <w:t>EITECO01 – Number of applicants, participants supported/referred by the ECO to the RI&amp;I Cluster innovation, education, business creation calls and training programmes</w:t>
            </w:r>
          </w:p>
          <w:p w14:paraId="713CCA1D" w14:textId="77777777" w:rsidR="00423AF0" w:rsidRPr="00423AF0" w:rsidRDefault="00423AF0" w:rsidP="003379AC">
            <w:pPr>
              <w:jc w:val="both"/>
              <w:rPr>
                <w:rFonts w:ascii="Titillium" w:eastAsia="Titillium" w:hAnsi="Titillium" w:cs="Titillium"/>
                <w:color w:val="23A2E4" w:themeColor="accent1" w:themeShade="BF"/>
                <w:sz w:val="16"/>
                <w:szCs w:val="16"/>
                <w:lang w:val="en-GB"/>
              </w:rPr>
            </w:pPr>
          </w:p>
          <w:p w14:paraId="44229E1D" w14:textId="77777777" w:rsidR="00423AF0" w:rsidRPr="00423AF0" w:rsidRDefault="00423AF0" w:rsidP="003379AC">
            <w:pPr>
              <w:spacing w:after="120"/>
              <w:ind w:left="270"/>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1.</w:t>
            </w:r>
            <w:r w:rsidRPr="00423AF0">
              <w:rPr>
                <w:rFonts w:ascii="Titillium" w:eastAsia="Titillium" w:hAnsi="Titillium" w:cs="Titillium"/>
                <w:sz w:val="16"/>
                <w:szCs w:val="16"/>
                <w:lang w:val="en-GB"/>
              </w:rPr>
              <w:t xml:space="preserve"> Number of EIT </w:t>
            </w:r>
            <w:proofErr w:type="spellStart"/>
            <w:r w:rsidRPr="00423AF0">
              <w:rPr>
                <w:rFonts w:ascii="Titillium" w:eastAsia="Titillium" w:hAnsi="Titillium" w:cs="Titillium"/>
                <w:sz w:val="16"/>
                <w:szCs w:val="16"/>
                <w:lang w:val="en-GB"/>
              </w:rPr>
              <w:t>Jumpstarter</w:t>
            </w:r>
            <w:proofErr w:type="spellEnd"/>
            <w:r w:rsidRPr="00423AF0">
              <w:rPr>
                <w:rFonts w:ascii="Titillium" w:eastAsia="Titillium" w:hAnsi="Titillium" w:cs="Titillium"/>
                <w:sz w:val="16"/>
                <w:szCs w:val="16"/>
                <w:lang w:val="en-GB"/>
              </w:rPr>
              <w:t xml:space="preserve"> programme eligible applicants supported/referred by the ECO.</w:t>
            </w:r>
          </w:p>
          <w:p w14:paraId="7F18A7CE" w14:textId="77777777" w:rsidR="00423AF0" w:rsidRPr="00423AF0" w:rsidRDefault="00423AF0" w:rsidP="003379AC">
            <w:pPr>
              <w:spacing w:after="120"/>
              <w:ind w:left="270"/>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2*.</w:t>
            </w:r>
            <w:r w:rsidRPr="00423AF0">
              <w:rPr>
                <w:rFonts w:ascii="Titillium" w:eastAsia="Titillium" w:hAnsi="Titillium" w:cs="Titillium"/>
                <w:sz w:val="16"/>
                <w:szCs w:val="16"/>
                <w:lang w:val="en-GB"/>
              </w:rPr>
              <w:t xml:space="preserve"> Number of Regional Innovation Booster applicants eligible supported/referred by the ECO.</w:t>
            </w:r>
          </w:p>
          <w:p w14:paraId="6FEA91E7" w14:textId="77777777" w:rsidR="00423AF0" w:rsidRPr="00423AF0" w:rsidRDefault="00423AF0" w:rsidP="003379AC">
            <w:pPr>
              <w:spacing w:after="120"/>
              <w:ind w:left="270"/>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3.</w:t>
            </w:r>
            <w:r w:rsidRPr="00423AF0">
              <w:rPr>
                <w:rFonts w:ascii="Titillium" w:eastAsia="Titillium" w:hAnsi="Titillium" w:cs="Titillium"/>
                <w:sz w:val="16"/>
                <w:szCs w:val="16"/>
                <w:lang w:val="en-GB"/>
              </w:rPr>
              <w:t xml:space="preserve"> Number of Global Outreach programme applicants eligible supported/referred by the ECO</w:t>
            </w:r>
          </w:p>
          <w:p w14:paraId="14EC45BA" w14:textId="77777777" w:rsidR="00423AF0" w:rsidRPr="00423AF0" w:rsidRDefault="00423AF0" w:rsidP="003379AC">
            <w:pPr>
              <w:ind w:left="270"/>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4.</w:t>
            </w:r>
            <w:r w:rsidRPr="00423AF0">
              <w:rPr>
                <w:rFonts w:ascii="Titillium" w:eastAsia="Titillium" w:hAnsi="Titillium" w:cs="Titillium"/>
                <w:sz w:val="16"/>
                <w:szCs w:val="16"/>
                <w:lang w:val="en-GB"/>
              </w:rPr>
              <w:t xml:space="preserve"> Number of Global Outreach training programme participants supported/referred by the ECO</w:t>
            </w:r>
          </w:p>
        </w:tc>
        <w:tc>
          <w:tcPr>
            <w:tcW w:w="3843" w:type="dxa"/>
          </w:tcPr>
          <w:p w14:paraId="473BBF52" w14:textId="77777777" w:rsidR="00423AF0" w:rsidRPr="00423AF0" w:rsidRDefault="00423AF0" w:rsidP="003379AC">
            <w:pPr>
              <w:jc w:val="both"/>
              <w:rPr>
                <w:rFonts w:ascii="Titillium" w:eastAsia="Titillium" w:hAnsi="Titillium" w:cs="Titillium"/>
                <w:sz w:val="16"/>
                <w:szCs w:val="16"/>
                <w:lang w:val="en-GB"/>
              </w:rPr>
            </w:pPr>
            <w:r w:rsidRPr="00423AF0">
              <w:rPr>
                <w:rFonts w:ascii="Titillium" w:eastAsia="Titillium" w:hAnsi="Titillium" w:cs="Titillium"/>
                <w:sz w:val="16"/>
                <w:szCs w:val="16"/>
                <w:lang w:val="en-GB"/>
              </w:rPr>
              <w:t>EITECO02 – Number of applicants, participants supported/referred to individual KIC’s innovation, education, business creation calls and training programmes</w:t>
            </w:r>
          </w:p>
          <w:p w14:paraId="5A2782F5" w14:textId="77777777" w:rsidR="00423AF0" w:rsidRPr="00423AF0" w:rsidRDefault="00423AF0" w:rsidP="003379AC">
            <w:pPr>
              <w:spacing w:after="120"/>
              <w:jc w:val="both"/>
              <w:rPr>
                <w:rFonts w:ascii="Titillium" w:eastAsia="Titillium" w:hAnsi="Titillium" w:cs="Titillium"/>
                <w:sz w:val="16"/>
                <w:szCs w:val="16"/>
                <w:lang w:val="en-GB"/>
              </w:rPr>
            </w:pPr>
          </w:p>
          <w:p w14:paraId="38D7C67F" w14:textId="77777777" w:rsidR="00423AF0" w:rsidRPr="00423AF0" w:rsidRDefault="00423AF0" w:rsidP="003379AC">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1.</w:t>
            </w:r>
            <w:r w:rsidRPr="00423AF0">
              <w:rPr>
                <w:rFonts w:ascii="Titillium" w:eastAsia="Titillium" w:hAnsi="Titillium" w:cs="Titillium"/>
                <w:sz w:val="16"/>
                <w:szCs w:val="16"/>
                <w:lang w:val="en-GB"/>
              </w:rPr>
              <w:t xml:space="preserve"> Number of EIT KIC Innovation Calls applicants eligible supported/referred by the ECO</w:t>
            </w:r>
          </w:p>
          <w:p w14:paraId="48E6D9A4" w14:textId="77777777" w:rsidR="00423AF0" w:rsidRPr="00423AF0" w:rsidRDefault="00423AF0" w:rsidP="003379AC">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2.</w:t>
            </w:r>
            <w:r w:rsidRPr="00423AF0">
              <w:rPr>
                <w:rFonts w:ascii="Titillium" w:eastAsia="Titillium" w:hAnsi="Titillium" w:cs="Titillium"/>
                <w:sz w:val="16"/>
                <w:szCs w:val="16"/>
                <w:lang w:val="en-GB"/>
              </w:rPr>
              <w:t xml:space="preserve"> Number of EIT KIC Education Calls applicants eligible supported/referred by the ECO</w:t>
            </w:r>
          </w:p>
          <w:p w14:paraId="5B384ACF" w14:textId="77777777" w:rsidR="00423AF0" w:rsidRPr="00423AF0" w:rsidRDefault="00423AF0" w:rsidP="003379AC">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3.</w:t>
            </w:r>
            <w:r w:rsidRPr="00423AF0">
              <w:rPr>
                <w:rFonts w:ascii="Titillium" w:eastAsia="Titillium" w:hAnsi="Titillium" w:cs="Titillium"/>
                <w:sz w:val="16"/>
                <w:szCs w:val="16"/>
                <w:lang w:val="en-GB"/>
              </w:rPr>
              <w:t xml:space="preserve"> Number of EIT KIC Business Creation Calls applicants eligible supported/referred by the ECO</w:t>
            </w:r>
          </w:p>
          <w:p w14:paraId="199AC610" w14:textId="77777777" w:rsidR="00423AF0" w:rsidRPr="00423AF0" w:rsidRDefault="00423AF0" w:rsidP="003379AC">
            <w:pPr>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4.</w:t>
            </w:r>
            <w:r w:rsidRPr="00423AF0">
              <w:rPr>
                <w:rFonts w:ascii="Titillium" w:eastAsia="Titillium" w:hAnsi="Titillium" w:cs="Titillium"/>
                <w:sz w:val="16"/>
                <w:szCs w:val="16"/>
                <w:lang w:val="en-GB"/>
              </w:rPr>
              <w:t xml:space="preserve"> Number of KIC training programme participants supported/referred by the ECO</w:t>
            </w:r>
          </w:p>
          <w:p w14:paraId="61AD05A3" w14:textId="77777777" w:rsidR="00423AF0" w:rsidRPr="00423AF0" w:rsidRDefault="00423AF0" w:rsidP="003379AC">
            <w:pPr>
              <w:ind w:left="270"/>
              <w:jc w:val="both"/>
              <w:rPr>
                <w:rFonts w:ascii="Titillium" w:eastAsia="Titillium" w:hAnsi="Titillium" w:cs="Titillium"/>
                <w:sz w:val="16"/>
                <w:szCs w:val="16"/>
                <w:lang w:val="en-GB"/>
              </w:rPr>
            </w:pPr>
          </w:p>
          <w:p w14:paraId="45BE3666" w14:textId="77777777" w:rsidR="00423AF0" w:rsidRPr="00423AF0" w:rsidRDefault="00423AF0" w:rsidP="003379AC">
            <w:pPr>
              <w:ind w:left="270"/>
              <w:jc w:val="both"/>
              <w:rPr>
                <w:rFonts w:ascii="Titillium" w:eastAsia="Titillium" w:hAnsi="Titillium" w:cs="Titillium"/>
                <w:sz w:val="16"/>
                <w:szCs w:val="16"/>
                <w:lang w:val="en-GB"/>
              </w:rPr>
            </w:pPr>
          </w:p>
          <w:p w14:paraId="2D39CE62" w14:textId="77777777" w:rsidR="00423AF0" w:rsidRPr="00423AF0" w:rsidRDefault="00423AF0" w:rsidP="003379AC">
            <w:pPr>
              <w:ind w:left="270"/>
              <w:jc w:val="both"/>
              <w:rPr>
                <w:rFonts w:ascii="Titillium" w:eastAsia="Titillium" w:hAnsi="Titillium" w:cs="Titillium"/>
                <w:sz w:val="16"/>
                <w:szCs w:val="16"/>
                <w:lang w:val="en-GB"/>
              </w:rPr>
            </w:pPr>
          </w:p>
          <w:p w14:paraId="1DAF4B96" w14:textId="77777777" w:rsidR="00423AF0" w:rsidRPr="00423AF0" w:rsidRDefault="00423AF0" w:rsidP="003379AC">
            <w:pPr>
              <w:jc w:val="both"/>
              <w:rPr>
                <w:rFonts w:ascii="Titillium" w:eastAsia="Titillium" w:hAnsi="Titillium" w:cs="Titillium"/>
                <w:sz w:val="16"/>
                <w:szCs w:val="16"/>
                <w:lang w:val="en-GB"/>
              </w:rPr>
            </w:pPr>
          </w:p>
        </w:tc>
      </w:tr>
      <w:tr w:rsidR="00423AF0" w14:paraId="1B6E18A8" w14:textId="77777777" w:rsidTr="003379AC">
        <w:trPr>
          <w:trHeight w:val="300"/>
        </w:trPr>
        <w:tc>
          <w:tcPr>
            <w:tcW w:w="1665" w:type="dxa"/>
          </w:tcPr>
          <w:p w14:paraId="61684C92" w14:textId="77777777" w:rsidR="00423AF0" w:rsidRPr="00423AF0" w:rsidRDefault="00423AF0" w:rsidP="003379AC">
            <w:pPr>
              <w:rPr>
                <w:rFonts w:ascii="Titillium" w:eastAsia="Titillium" w:hAnsi="Titillium" w:cs="Titillium"/>
                <w:b/>
                <w:bCs/>
                <w:sz w:val="16"/>
                <w:szCs w:val="16"/>
                <w:lang w:val="en-GB"/>
              </w:rPr>
            </w:pPr>
            <w:r w:rsidRPr="00423AF0">
              <w:rPr>
                <w:rFonts w:ascii="Titillium" w:eastAsia="Titillium" w:hAnsi="Titillium" w:cs="Titillium"/>
                <w:b/>
                <w:bCs/>
                <w:sz w:val="16"/>
                <w:szCs w:val="16"/>
                <w:lang w:val="en-GB"/>
              </w:rPr>
              <w:t>WP2 Business Development for Financial Sustainability</w:t>
            </w:r>
          </w:p>
        </w:tc>
        <w:tc>
          <w:tcPr>
            <w:tcW w:w="3843" w:type="dxa"/>
          </w:tcPr>
          <w:p w14:paraId="794E5B12" w14:textId="77777777" w:rsidR="00423AF0" w:rsidRPr="00423AF0" w:rsidRDefault="00423AF0" w:rsidP="003379AC">
            <w:pPr>
              <w:jc w:val="both"/>
              <w:rPr>
                <w:rFonts w:ascii="Titillium" w:eastAsia="Titillium" w:hAnsi="Titillium" w:cs="Titillium"/>
                <w:sz w:val="16"/>
                <w:szCs w:val="16"/>
                <w:lang w:val="en-GB"/>
              </w:rPr>
            </w:pPr>
            <w:r w:rsidRPr="00423AF0">
              <w:rPr>
                <w:rFonts w:ascii="Titillium" w:eastAsia="Titillium" w:hAnsi="Titillium" w:cs="Titillium"/>
                <w:sz w:val="16"/>
                <w:szCs w:val="16"/>
                <w:lang w:val="en-GB"/>
              </w:rPr>
              <w:t>EITECO03 – Number of leads for revenue, funding facilitated by the ECO to contribute to the financial sustainability of the RI&amp;I Cluster</w:t>
            </w:r>
          </w:p>
          <w:p w14:paraId="4E08C02B" w14:textId="77777777" w:rsidR="00423AF0" w:rsidRPr="00423AF0" w:rsidRDefault="00423AF0" w:rsidP="003379AC">
            <w:pPr>
              <w:jc w:val="both"/>
              <w:rPr>
                <w:rFonts w:ascii="Titillium" w:eastAsia="Titillium" w:hAnsi="Titillium" w:cs="Titillium"/>
                <w:sz w:val="16"/>
                <w:szCs w:val="16"/>
                <w:lang w:val="en-GB"/>
              </w:rPr>
            </w:pPr>
          </w:p>
          <w:p w14:paraId="40C10A90" w14:textId="77777777" w:rsidR="00423AF0" w:rsidRPr="00423AF0" w:rsidRDefault="00423AF0" w:rsidP="003379AC">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1.</w:t>
            </w:r>
            <w:r w:rsidRPr="00423AF0">
              <w:rPr>
                <w:rFonts w:ascii="Titillium" w:eastAsia="Titillium" w:hAnsi="Titillium" w:cs="Titillium"/>
                <w:sz w:val="16"/>
                <w:szCs w:val="16"/>
                <w:lang w:val="en-GB"/>
              </w:rPr>
              <w:t xml:space="preserve">  Number of leads facilitated by the ECO for national, regional, local funding (grant </w:t>
            </w:r>
            <w:r w:rsidRPr="00423AF0">
              <w:rPr>
                <w:rFonts w:ascii="Titillium" w:eastAsia="Titillium" w:hAnsi="Titillium" w:cs="Titillium"/>
                <w:sz w:val="16"/>
                <w:szCs w:val="16"/>
                <w:lang w:val="en-GB"/>
              </w:rPr>
              <w:lastRenderedPageBreak/>
              <w:t xml:space="preserve">or investment) raised by EIT </w:t>
            </w:r>
            <w:proofErr w:type="spellStart"/>
            <w:r w:rsidRPr="00423AF0">
              <w:rPr>
                <w:rFonts w:ascii="Titillium" w:eastAsia="Titillium" w:hAnsi="Titillium" w:cs="Titillium"/>
                <w:sz w:val="16"/>
                <w:szCs w:val="16"/>
                <w:lang w:val="en-GB"/>
              </w:rPr>
              <w:t>Jumpstarter</w:t>
            </w:r>
            <w:proofErr w:type="spellEnd"/>
            <w:r w:rsidRPr="00423AF0">
              <w:rPr>
                <w:rFonts w:ascii="Titillium" w:eastAsia="Titillium" w:hAnsi="Titillium" w:cs="Titillium"/>
                <w:sz w:val="16"/>
                <w:szCs w:val="16"/>
                <w:lang w:val="en-GB"/>
              </w:rPr>
              <w:t xml:space="preserve"> teams, participants.</w:t>
            </w:r>
          </w:p>
          <w:p w14:paraId="48BF0117" w14:textId="77777777" w:rsidR="00423AF0" w:rsidRPr="00423AF0" w:rsidRDefault="00423AF0" w:rsidP="003379AC">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2.</w:t>
            </w:r>
            <w:r w:rsidRPr="00423AF0">
              <w:rPr>
                <w:rFonts w:ascii="Titillium" w:eastAsia="Titillium" w:hAnsi="Titillium" w:cs="Titillium"/>
                <w:sz w:val="16"/>
                <w:szCs w:val="16"/>
                <w:lang w:val="en-GB"/>
              </w:rPr>
              <w:t xml:space="preserve"> Number of leads facilitated by the ECO for national, regional, local funding (grant or investment) raised by Global Outreach supported startups/scaleups.</w:t>
            </w:r>
          </w:p>
          <w:p w14:paraId="6299B3D5" w14:textId="77777777" w:rsidR="00423AF0" w:rsidRPr="00423AF0" w:rsidRDefault="00423AF0" w:rsidP="003379AC">
            <w:pPr>
              <w:spacing w:after="120"/>
              <w:ind w:left="27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3.</w:t>
            </w:r>
            <w:r w:rsidRPr="00423AF0">
              <w:rPr>
                <w:rFonts w:ascii="Titillium" w:eastAsia="Titillium" w:hAnsi="Titillium" w:cs="Titillium"/>
                <w:sz w:val="16"/>
                <w:szCs w:val="16"/>
                <w:lang w:val="en-GB"/>
              </w:rPr>
              <w:t xml:space="preserve"> Number of leads generated by the ECO converted in Global Outreach selling GO Academy modules.</w:t>
            </w:r>
          </w:p>
        </w:tc>
        <w:tc>
          <w:tcPr>
            <w:tcW w:w="3843" w:type="dxa"/>
          </w:tcPr>
          <w:p w14:paraId="3D94E279" w14:textId="77777777" w:rsidR="00423AF0" w:rsidRPr="00423AF0" w:rsidRDefault="00423AF0" w:rsidP="003379AC">
            <w:pPr>
              <w:jc w:val="both"/>
              <w:rPr>
                <w:rFonts w:ascii="Titillium" w:eastAsia="Titillium" w:hAnsi="Titillium" w:cs="Titillium"/>
                <w:sz w:val="16"/>
                <w:szCs w:val="16"/>
                <w:lang w:val="en-GB"/>
              </w:rPr>
            </w:pPr>
            <w:r w:rsidRPr="00423AF0">
              <w:rPr>
                <w:rFonts w:ascii="Titillium" w:eastAsia="Titillium" w:hAnsi="Titillium" w:cs="Titillium"/>
                <w:sz w:val="16"/>
                <w:szCs w:val="16"/>
                <w:lang w:val="en-GB"/>
              </w:rPr>
              <w:lastRenderedPageBreak/>
              <w:t>EITECO04 – Number of leads for revenue, funding facilitated by the ECO to contribute to the financial sustainability of the KICs</w:t>
            </w:r>
          </w:p>
          <w:p w14:paraId="13C10B9C" w14:textId="77777777" w:rsidR="00423AF0" w:rsidRPr="00423AF0" w:rsidRDefault="00423AF0" w:rsidP="003379AC">
            <w:pPr>
              <w:jc w:val="both"/>
              <w:rPr>
                <w:rFonts w:ascii="Titillium" w:eastAsia="Titillium" w:hAnsi="Titillium" w:cs="Titillium"/>
                <w:sz w:val="16"/>
                <w:szCs w:val="16"/>
                <w:lang w:val="en-GB"/>
              </w:rPr>
            </w:pPr>
          </w:p>
          <w:p w14:paraId="6FE7165E" w14:textId="77777777" w:rsidR="00423AF0" w:rsidRPr="00423AF0" w:rsidRDefault="00423AF0" w:rsidP="003379AC">
            <w:pPr>
              <w:jc w:val="both"/>
              <w:rPr>
                <w:rFonts w:ascii="Titillium" w:eastAsia="Titillium" w:hAnsi="Titillium" w:cs="Titillium"/>
                <w:sz w:val="16"/>
                <w:szCs w:val="16"/>
                <w:lang w:val="en-GB"/>
              </w:rPr>
            </w:pPr>
          </w:p>
          <w:p w14:paraId="0F5204EB" w14:textId="77777777" w:rsidR="00423AF0" w:rsidRPr="00423AF0" w:rsidRDefault="00423AF0" w:rsidP="003379AC">
            <w:pPr>
              <w:spacing w:after="120"/>
              <w:ind w:left="36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lastRenderedPageBreak/>
              <w:t>Strand 1.</w:t>
            </w:r>
            <w:r w:rsidRPr="00423AF0">
              <w:rPr>
                <w:rFonts w:ascii="Titillium" w:eastAsia="Titillium" w:hAnsi="Titillium" w:cs="Titillium"/>
                <w:sz w:val="16"/>
                <w:szCs w:val="16"/>
                <w:lang w:val="en-GB"/>
              </w:rPr>
              <w:t xml:space="preserve"> Number of leads facilitated by the ECO for new KIC partner membership fee.</w:t>
            </w:r>
          </w:p>
          <w:p w14:paraId="58936D15" w14:textId="77777777" w:rsidR="00423AF0" w:rsidRPr="00423AF0" w:rsidRDefault="00423AF0" w:rsidP="003379AC">
            <w:pPr>
              <w:ind w:left="36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2.</w:t>
            </w:r>
            <w:r w:rsidRPr="00423AF0">
              <w:rPr>
                <w:rFonts w:ascii="Titillium" w:eastAsia="Titillium" w:hAnsi="Titillium" w:cs="Titillium"/>
                <w:sz w:val="16"/>
                <w:szCs w:val="16"/>
                <w:lang w:val="en-GB"/>
              </w:rPr>
              <w:t xml:space="preserve"> </w:t>
            </w:r>
            <w:r w:rsidRPr="62283C19">
              <w:rPr>
                <w:rFonts w:ascii="Titillium" w:eastAsia="Titillium" w:hAnsi="Titillium" w:cs="Titillium"/>
                <w:color w:val="auto"/>
                <w:sz w:val="16"/>
                <w:szCs w:val="16"/>
                <w:lang w:val="en-US" w:eastAsia="en-US"/>
              </w:rPr>
              <w:t>Number of leads facilitated by the ECO for national, local funding secured (co-funding or co-investment) that supports the KICs financial sustainability</w:t>
            </w:r>
            <w:r w:rsidRPr="00423AF0">
              <w:rPr>
                <w:rFonts w:ascii="Titillium" w:eastAsia="Titillium" w:hAnsi="Titillium" w:cs="Titillium"/>
                <w:color w:val="auto"/>
                <w:sz w:val="16"/>
                <w:szCs w:val="16"/>
                <w:lang w:val="en-GB" w:eastAsia="en-US"/>
              </w:rPr>
              <w:t>.</w:t>
            </w:r>
          </w:p>
          <w:p w14:paraId="2ACCA3EF" w14:textId="77777777" w:rsidR="00423AF0" w:rsidRPr="00423AF0" w:rsidRDefault="00423AF0" w:rsidP="003379AC">
            <w:pPr>
              <w:ind w:left="360"/>
              <w:jc w:val="both"/>
              <w:rPr>
                <w:rFonts w:ascii="Titillium" w:eastAsia="Titillium" w:hAnsi="Titillium" w:cs="Titillium"/>
                <w:sz w:val="16"/>
                <w:szCs w:val="16"/>
                <w:lang w:val="en-GB"/>
              </w:rPr>
            </w:pPr>
          </w:p>
          <w:p w14:paraId="07B9D17C" w14:textId="77777777" w:rsidR="00423AF0" w:rsidRPr="00423AF0" w:rsidRDefault="00423AF0" w:rsidP="003379AC">
            <w:pPr>
              <w:ind w:left="360"/>
              <w:jc w:val="both"/>
              <w:rPr>
                <w:rFonts w:ascii="Titillium" w:eastAsia="Titillium" w:hAnsi="Titillium" w:cs="Titillium"/>
                <w:sz w:val="16"/>
                <w:szCs w:val="16"/>
                <w:lang w:val="en-GB"/>
              </w:rPr>
            </w:pPr>
            <w:r w:rsidRPr="00423AF0">
              <w:rPr>
                <w:rFonts w:ascii="Titillium" w:eastAsia="Titillium" w:hAnsi="Titillium" w:cs="Titillium"/>
                <w:sz w:val="16"/>
                <w:szCs w:val="16"/>
                <w:u w:val="single"/>
                <w:lang w:val="en-GB"/>
              </w:rPr>
              <w:t>Strand 3.</w:t>
            </w:r>
            <w:r w:rsidRPr="00423AF0">
              <w:rPr>
                <w:rFonts w:ascii="Titillium" w:eastAsia="Titillium" w:hAnsi="Titillium" w:cs="Titillium"/>
                <w:sz w:val="16"/>
                <w:szCs w:val="16"/>
                <w:lang w:val="en-GB"/>
              </w:rPr>
              <w:t xml:space="preserve"> Number of leads facilitated by the ECO for revenue converted by the KICs with sold services. </w:t>
            </w:r>
          </w:p>
          <w:p w14:paraId="7EA6245C" w14:textId="77777777" w:rsidR="00423AF0" w:rsidRPr="00423AF0" w:rsidRDefault="00423AF0" w:rsidP="003379AC">
            <w:pPr>
              <w:ind w:left="360"/>
              <w:jc w:val="both"/>
              <w:rPr>
                <w:rFonts w:ascii="Titillium" w:eastAsia="Titillium" w:hAnsi="Titillium" w:cs="Titillium"/>
                <w:sz w:val="16"/>
                <w:szCs w:val="16"/>
                <w:lang w:val="en-GB"/>
              </w:rPr>
            </w:pPr>
          </w:p>
          <w:p w14:paraId="46CDE4F8" w14:textId="77777777" w:rsidR="00423AF0" w:rsidRPr="00423AF0" w:rsidRDefault="00423AF0" w:rsidP="003379AC">
            <w:pPr>
              <w:ind w:left="360"/>
              <w:jc w:val="both"/>
              <w:rPr>
                <w:rFonts w:ascii="Titillium" w:eastAsia="Titillium" w:hAnsi="Titillium" w:cs="Titillium"/>
                <w:sz w:val="16"/>
                <w:szCs w:val="16"/>
                <w:lang w:val="en-GB"/>
              </w:rPr>
            </w:pPr>
          </w:p>
          <w:p w14:paraId="63D5C832" w14:textId="77777777" w:rsidR="00423AF0" w:rsidRPr="00423AF0" w:rsidRDefault="00423AF0" w:rsidP="003379AC">
            <w:pPr>
              <w:ind w:left="360"/>
              <w:jc w:val="both"/>
              <w:rPr>
                <w:rFonts w:ascii="Titillium" w:eastAsia="Titillium" w:hAnsi="Titillium" w:cs="Titillium"/>
                <w:sz w:val="16"/>
                <w:szCs w:val="16"/>
                <w:lang w:val="en-GB"/>
              </w:rPr>
            </w:pPr>
          </w:p>
        </w:tc>
      </w:tr>
      <w:tr w:rsidR="00423AF0" w14:paraId="193A1655" w14:textId="77777777" w:rsidTr="003379AC">
        <w:trPr>
          <w:trHeight w:val="300"/>
        </w:trPr>
        <w:tc>
          <w:tcPr>
            <w:tcW w:w="1665" w:type="dxa"/>
          </w:tcPr>
          <w:p w14:paraId="69B4AD7C" w14:textId="77777777" w:rsidR="00423AF0" w:rsidRPr="00423AF0" w:rsidRDefault="00423AF0" w:rsidP="003379AC">
            <w:pPr>
              <w:rPr>
                <w:rFonts w:ascii="Titillium" w:eastAsia="Titillium" w:hAnsi="Titillium" w:cs="Titillium"/>
                <w:b/>
                <w:bCs/>
                <w:lang w:val="en-GB"/>
              </w:rPr>
            </w:pPr>
          </w:p>
        </w:tc>
        <w:tc>
          <w:tcPr>
            <w:tcW w:w="7686" w:type="dxa"/>
            <w:gridSpan w:val="2"/>
            <w:shd w:val="clear" w:color="auto" w:fill="002060"/>
          </w:tcPr>
          <w:p w14:paraId="537060B0" w14:textId="77777777" w:rsidR="00423AF0" w:rsidRPr="00423AF0" w:rsidRDefault="00423AF0" w:rsidP="003379AC">
            <w:pPr>
              <w:jc w:val="center"/>
              <w:rPr>
                <w:rFonts w:ascii="Titillium" w:eastAsia="Titillium" w:hAnsi="Titillium" w:cs="Titillium"/>
                <w:color w:val="FFFFFF" w:themeColor="background1"/>
                <w:sz w:val="16"/>
                <w:szCs w:val="16"/>
                <w:lang w:val="en-GB"/>
              </w:rPr>
            </w:pPr>
            <w:r w:rsidRPr="00423AF0">
              <w:rPr>
                <w:rFonts w:ascii="Titillium" w:eastAsia="Titillium" w:hAnsi="Titillium" w:cs="Titillium"/>
                <w:color w:val="FFFFFF" w:themeColor="background1"/>
                <w:sz w:val="16"/>
                <w:szCs w:val="16"/>
                <w:lang w:val="en-GB"/>
              </w:rPr>
              <w:t>External funding raised for the EIT Community Hub activity</w:t>
            </w:r>
          </w:p>
        </w:tc>
      </w:tr>
      <w:tr w:rsidR="00423AF0" w14:paraId="2C9BB831" w14:textId="77777777" w:rsidTr="003379AC">
        <w:trPr>
          <w:trHeight w:val="300"/>
        </w:trPr>
        <w:tc>
          <w:tcPr>
            <w:tcW w:w="1665" w:type="dxa"/>
          </w:tcPr>
          <w:p w14:paraId="64777EE9" w14:textId="77777777" w:rsidR="00423AF0" w:rsidRPr="00423AF0" w:rsidRDefault="00423AF0" w:rsidP="003379AC">
            <w:pPr>
              <w:rPr>
                <w:rFonts w:ascii="Titillium" w:eastAsia="Titillium" w:hAnsi="Titillium" w:cs="Titillium"/>
                <w:b/>
                <w:bCs/>
                <w:sz w:val="16"/>
                <w:szCs w:val="16"/>
                <w:lang w:val="en-GB"/>
              </w:rPr>
            </w:pPr>
            <w:r w:rsidRPr="00423AF0">
              <w:rPr>
                <w:rFonts w:ascii="Titillium" w:eastAsia="Titillium" w:hAnsi="Titillium" w:cs="Titillium"/>
                <w:b/>
                <w:bCs/>
                <w:sz w:val="16"/>
                <w:szCs w:val="16"/>
                <w:lang w:val="en-GB"/>
              </w:rPr>
              <w:t>WP3 Fundraising for the EIT Community Hub</w:t>
            </w:r>
          </w:p>
        </w:tc>
        <w:tc>
          <w:tcPr>
            <w:tcW w:w="7686" w:type="dxa"/>
            <w:gridSpan w:val="2"/>
          </w:tcPr>
          <w:p w14:paraId="574CAE26" w14:textId="77777777" w:rsidR="00423AF0" w:rsidRPr="00423AF0" w:rsidRDefault="00423AF0" w:rsidP="003379AC">
            <w:pPr>
              <w:spacing w:after="120"/>
              <w:jc w:val="both"/>
              <w:rPr>
                <w:rFonts w:ascii="Titillium" w:eastAsia="Titillium" w:hAnsi="Titillium" w:cs="Titillium"/>
                <w:sz w:val="16"/>
                <w:szCs w:val="16"/>
                <w:lang w:val="en-GB"/>
              </w:rPr>
            </w:pPr>
            <w:r w:rsidRPr="00423AF0">
              <w:rPr>
                <w:rFonts w:ascii="Titillium" w:eastAsia="Titillium" w:hAnsi="Titillium" w:cs="Titillium"/>
                <w:sz w:val="16"/>
                <w:szCs w:val="16"/>
                <w:lang w:val="en-GB"/>
              </w:rPr>
              <w:t xml:space="preserve">EITECO05 Amount of non-EIT funding raised for additional activities of the EIT Community Hub (preferably together with EIT Community Hub Members) contributing to the EIT core KPIs </w:t>
            </w:r>
          </w:p>
          <w:p w14:paraId="33C1CB29" w14:textId="77777777" w:rsidR="00423AF0" w:rsidRPr="00423AF0" w:rsidRDefault="00423AF0" w:rsidP="003379AC">
            <w:pPr>
              <w:spacing w:after="60"/>
              <w:ind w:left="270"/>
              <w:jc w:val="both"/>
              <w:rPr>
                <w:rFonts w:ascii="Titillium" w:eastAsia="Titillium" w:hAnsi="Titillium" w:cs="Titillium"/>
                <w:sz w:val="16"/>
                <w:szCs w:val="16"/>
                <w:lang w:val="en-GB"/>
              </w:rPr>
            </w:pPr>
          </w:p>
        </w:tc>
      </w:tr>
    </w:tbl>
    <w:p w14:paraId="6CF5F089" w14:textId="77777777" w:rsidR="00423AF0" w:rsidRDefault="00423AF0" w:rsidP="00423AF0">
      <w:pPr>
        <w:jc w:val="both"/>
        <w:rPr>
          <w:rFonts w:ascii="Titillium" w:eastAsia="Titillium" w:hAnsi="Titillium" w:cs="Titillium"/>
        </w:rPr>
      </w:pPr>
    </w:p>
    <w:p w14:paraId="3219B593" w14:textId="77777777" w:rsidR="00423AF0" w:rsidRPr="00D90AD3" w:rsidRDefault="00423AF0" w:rsidP="7295751F">
      <w:pPr>
        <w:jc w:val="both"/>
        <w:rPr>
          <w:rFonts w:asciiTheme="minorHAnsi" w:hAnsiTheme="minorHAnsi"/>
          <w:b/>
          <w:bCs/>
          <w:sz w:val="24"/>
          <w:szCs w:val="24"/>
          <w:lang w:val="en-US"/>
        </w:rPr>
      </w:pPr>
      <w:bookmarkStart w:id="74" w:name="_Toc26282627"/>
      <w:bookmarkStart w:id="75" w:name="_Toc205312696"/>
      <w:r w:rsidRPr="7295751F">
        <w:rPr>
          <w:rFonts w:asciiTheme="minorHAnsi" w:hAnsiTheme="minorHAnsi"/>
          <w:b/>
          <w:bCs/>
          <w:sz w:val="24"/>
          <w:szCs w:val="24"/>
          <w:lang w:val="en-US"/>
        </w:rPr>
        <w:t>3.1. The Definition of the Key Performance Indicators</w:t>
      </w:r>
      <w:bookmarkEnd w:id="74"/>
      <w:bookmarkEnd w:id="75"/>
    </w:p>
    <w:p w14:paraId="1F57A158" w14:textId="77777777" w:rsidR="00423AF0" w:rsidRDefault="00423AF0" w:rsidP="00423AF0">
      <w:pPr>
        <w:jc w:val="both"/>
        <w:rPr>
          <w:rFonts w:ascii="Titillium" w:eastAsia="Titillium" w:hAnsi="Titillium" w:cs="Titillium"/>
        </w:rPr>
      </w:pPr>
    </w:p>
    <w:p w14:paraId="7FD577BE" w14:textId="77777777" w:rsidR="00423AF0" w:rsidRDefault="00423AF0" w:rsidP="00423AF0">
      <w:pPr>
        <w:jc w:val="both"/>
        <w:rPr>
          <w:rFonts w:ascii="Titillium" w:eastAsia="Titillium" w:hAnsi="Titillium" w:cs="Titillium"/>
        </w:rPr>
      </w:pPr>
      <w:r w:rsidRPr="636C4F36">
        <w:rPr>
          <w:rFonts w:ascii="Titillium" w:eastAsia="Titillium" w:hAnsi="Titillium" w:cs="Titillium"/>
        </w:rPr>
        <w:t>The description of the KPIs is the following:</w:t>
      </w:r>
    </w:p>
    <w:tbl>
      <w:tblPr>
        <w:tblStyle w:val="TableGrid"/>
        <w:tblW w:w="0" w:type="auto"/>
        <w:tblLook w:val="04A0" w:firstRow="1" w:lastRow="0" w:firstColumn="1" w:lastColumn="0" w:noHBand="0" w:noVBand="1"/>
      </w:tblPr>
      <w:tblGrid>
        <w:gridCol w:w="1866"/>
        <w:gridCol w:w="3523"/>
        <w:gridCol w:w="3815"/>
      </w:tblGrid>
      <w:tr w:rsidR="00423AF0" w14:paraId="605F7CC2" w14:textId="77777777" w:rsidTr="003379AC">
        <w:tc>
          <w:tcPr>
            <w:tcW w:w="1885" w:type="dxa"/>
            <w:shd w:val="clear" w:color="auto" w:fill="002060"/>
          </w:tcPr>
          <w:p w14:paraId="3B5FBEDE" w14:textId="77777777" w:rsidR="00423AF0" w:rsidRPr="00AA31C6" w:rsidRDefault="00423AF0" w:rsidP="003379AC">
            <w:pPr>
              <w:rPr>
                <w:rFonts w:ascii="Titillium" w:eastAsia="Titillium" w:hAnsi="Titillium" w:cs="Titillium"/>
                <w:b/>
                <w:bCs/>
                <w:color w:val="FFFFFF" w:themeColor="background1"/>
              </w:rPr>
            </w:pPr>
            <w:r w:rsidRPr="636C4F36">
              <w:rPr>
                <w:rFonts w:ascii="Titillium" w:eastAsia="Titillium" w:hAnsi="Titillium" w:cs="Titillium"/>
                <w:b/>
                <w:bCs/>
                <w:color w:val="FFFFFF" w:themeColor="background1"/>
              </w:rPr>
              <w:t>EITECO01</w:t>
            </w:r>
          </w:p>
        </w:tc>
        <w:tc>
          <w:tcPr>
            <w:tcW w:w="7465" w:type="dxa"/>
            <w:gridSpan w:val="2"/>
            <w:shd w:val="clear" w:color="auto" w:fill="002060"/>
          </w:tcPr>
          <w:p w14:paraId="632A1473" w14:textId="77777777" w:rsidR="00423AF0" w:rsidRPr="00423AF0" w:rsidRDefault="00423AF0" w:rsidP="003379AC">
            <w:pP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Applicants, participants supported/referred by the ECO to the RI&amp;I Cluster innovation, education, business creation calls</w:t>
            </w:r>
          </w:p>
        </w:tc>
      </w:tr>
      <w:tr w:rsidR="00423AF0" w14:paraId="462E8766" w14:textId="77777777" w:rsidTr="003379AC">
        <w:tc>
          <w:tcPr>
            <w:tcW w:w="5485" w:type="dxa"/>
            <w:gridSpan w:val="2"/>
            <w:vMerge w:val="restart"/>
          </w:tcPr>
          <w:p w14:paraId="4A41F76B" w14:textId="77777777" w:rsidR="00423AF0" w:rsidRPr="00423AF0" w:rsidRDefault="00423AF0" w:rsidP="003379AC">
            <w:pPr>
              <w:jc w:val="both"/>
              <w:rPr>
                <w:rFonts w:ascii="Titillium" w:eastAsia="Titillium" w:hAnsi="Titillium" w:cs="Titillium"/>
                <w:lang w:val="en-GB"/>
              </w:rPr>
            </w:pPr>
            <w:r w:rsidRPr="00423AF0">
              <w:rPr>
                <w:rFonts w:ascii="Titillium" w:eastAsia="Titillium" w:hAnsi="Titillium" w:cs="Titillium"/>
                <w:b/>
                <w:bCs/>
                <w:lang w:val="en-GB"/>
              </w:rPr>
              <w:t>Definition</w:t>
            </w:r>
            <w:r w:rsidRPr="00423AF0">
              <w:rPr>
                <w:rFonts w:ascii="Titillium" w:eastAsia="Titillium" w:hAnsi="Titillium" w:cs="Titillium"/>
                <w:lang w:val="en-GB"/>
              </w:rPr>
              <w:t xml:space="preserve">: </w:t>
            </w:r>
          </w:p>
          <w:p w14:paraId="5FBD8EA6" w14:textId="77777777" w:rsidR="00423AF0" w:rsidRPr="00423AF0" w:rsidRDefault="00423AF0" w:rsidP="003379AC">
            <w:pPr>
              <w:jc w:val="both"/>
              <w:rPr>
                <w:rFonts w:ascii="Titillium" w:eastAsia="Titillium" w:hAnsi="Titillium" w:cs="Titillium"/>
                <w:lang w:val="en-GB"/>
              </w:rPr>
            </w:pPr>
            <w:r w:rsidRPr="00423AF0">
              <w:rPr>
                <w:rFonts w:ascii="Titillium" w:eastAsia="Titillium" w:hAnsi="Titillium" w:cs="Titillium"/>
                <w:lang w:val="en-GB"/>
              </w:rPr>
              <w:t xml:space="preserve">EIT Community Officers are requested to strategically scout and secure new applicants, applications to the calls published by the RI&amp;I Cluster initiatives: EIT </w:t>
            </w:r>
            <w:proofErr w:type="spellStart"/>
            <w:r w:rsidRPr="00423AF0">
              <w:rPr>
                <w:rFonts w:ascii="Titillium" w:eastAsia="Titillium" w:hAnsi="Titillium" w:cs="Titillium"/>
                <w:lang w:val="en-GB"/>
              </w:rPr>
              <w:t>Jumpstarter</w:t>
            </w:r>
            <w:proofErr w:type="spellEnd"/>
            <w:r w:rsidRPr="00423AF0">
              <w:rPr>
                <w:rFonts w:ascii="Titillium" w:eastAsia="Titillium" w:hAnsi="Titillium" w:cs="Titillium"/>
                <w:lang w:val="en-GB"/>
              </w:rPr>
              <w:t xml:space="preserve">, Regional Innovation Booster, Global Outreach programmes and participants for the Global Outreach training sessions. </w:t>
            </w:r>
          </w:p>
          <w:p w14:paraId="06165ACA" w14:textId="77777777" w:rsidR="00423AF0" w:rsidRPr="00423AF0" w:rsidRDefault="00423AF0" w:rsidP="003379AC">
            <w:pPr>
              <w:spacing w:line="259" w:lineRule="auto"/>
              <w:jc w:val="both"/>
              <w:rPr>
                <w:rFonts w:ascii="Titillium" w:eastAsia="Titillium" w:hAnsi="Titillium" w:cs="Titillium"/>
                <w:lang w:val="en-GB"/>
              </w:rPr>
            </w:pPr>
          </w:p>
        </w:tc>
        <w:tc>
          <w:tcPr>
            <w:tcW w:w="3865" w:type="dxa"/>
          </w:tcPr>
          <w:p w14:paraId="22A59AC0" w14:textId="77777777" w:rsidR="00423AF0" w:rsidRPr="00AA31C6" w:rsidRDefault="00423AF0" w:rsidP="003379AC">
            <w:pPr>
              <w:rPr>
                <w:rFonts w:ascii="Titillium" w:eastAsia="Titillium" w:hAnsi="Titillium" w:cs="Titillium"/>
                <w:b/>
                <w:bCs/>
              </w:rPr>
            </w:pPr>
            <w:proofErr w:type="spellStart"/>
            <w:r w:rsidRPr="636C4F36">
              <w:rPr>
                <w:rFonts w:ascii="Titillium" w:eastAsia="Titillium" w:hAnsi="Titillium" w:cs="Titillium"/>
                <w:b/>
                <w:bCs/>
              </w:rPr>
              <w:t>Evidence</w:t>
            </w:r>
            <w:proofErr w:type="spellEnd"/>
            <w:r w:rsidRPr="636C4F36">
              <w:rPr>
                <w:rFonts w:ascii="Titillium" w:eastAsia="Titillium" w:hAnsi="Titillium" w:cs="Titillium"/>
                <w:b/>
                <w:bCs/>
              </w:rPr>
              <w:t>:</w:t>
            </w:r>
          </w:p>
        </w:tc>
      </w:tr>
      <w:tr w:rsidR="00423AF0" w14:paraId="69BE6FF9" w14:textId="77777777" w:rsidTr="003379AC">
        <w:trPr>
          <w:trHeight w:val="532"/>
        </w:trPr>
        <w:tc>
          <w:tcPr>
            <w:tcW w:w="5485" w:type="dxa"/>
            <w:gridSpan w:val="2"/>
            <w:vMerge/>
          </w:tcPr>
          <w:p w14:paraId="020D311F" w14:textId="77777777" w:rsidR="00423AF0" w:rsidRDefault="00423AF0" w:rsidP="003379AC">
            <w:pPr>
              <w:jc w:val="both"/>
            </w:pPr>
          </w:p>
        </w:tc>
        <w:tc>
          <w:tcPr>
            <w:tcW w:w="3865" w:type="dxa"/>
            <w:vAlign w:val="center"/>
          </w:tcPr>
          <w:p w14:paraId="4F22164D" w14:textId="77777777" w:rsidR="00423AF0" w:rsidRPr="00423AF0" w:rsidRDefault="00423AF0" w:rsidP="003379AC">
            <w:pPr>
              <w:rPr>
                <w:rFonts w:ascii="Titillium" w:eastAsia="Titillium" w:hAnsi="Titillium" w:cs="Titillium"/>
                <w:szCs w:val="20"/>
                <w:lang w:val="en-GB"/>
              </w:rPr>
            </w:pPr>
            <w:r w:rsidRPr="00423AF0">
              <w:rPr>
                <w:rFonts w:ascii="Titillium" w:eastAsia="Titillium" w:hAnsi="Titillium" w:cs="Titillium"/>
                <w:szCs w:val="20"/>
                <w:lang w:val="en-GB"/>
              </w:rPr>
              <w:t>Cross-check of the applications registry of the Cluster programmes and training programme participant list with the submitted structured data</w:t>
            </w:r>
          </w:p>
        </w:tc>
      </w:tr>
      <w:tr w:rsidR="00423AF0" w14:paraId="2F87D76C" w14:textId="77777777" w:rsidTr="003379AC">
        <w:trPr>
          <w:trHeight w:val="296"/>
        </w:trPr>
        <w:tc>
          <w:tcPr>
            <w:tcW w:w="5485" w:type="dxa"/>
            <w:gridSpan w:val="2"/>
            <w:vMerge/>
          </w:tcPr>
          <w:p w14:paraId="49DA98CB" w14:textId="77777777" w:rsidR="00423AF0" w:rsidRPr="00423AF0" w:rsidRDefault="00423AF0" w:rsidP="003379AC">
            <w:pPr>
              <w:jc w:val="both"/>
              <w:rPr>
                <w:lang w:val="en-GB"/>
              </w:rPr>
            </w:pPr>
          </w:p>
        </w:tc>
        <w:tc>
          <w:tcPr>
            <w:tcW w:w="3865" w:type="dxa"/>
          </w:tcPr>
          <w:p w14:paraId="62248ED1" w14:textId="77777777" w:rsidR="00423AF0" w:rsidRPr="00AA31C6" w:rsidRDefault="00423AF0" w:rsidP="003379AC">
            <w:pPr>
              <w:rPr>
                <w:rFonts w:ascii="Titillium" w:eastAsia="Titillium" w:hAnsi="Titillium" w:cs="Titillium"/>
                <w:b/>
                <w:bCs/>
              </w:rPr>
            </w:pPr>
            <w:r w:rsidRPr="636C4F36">
              <w:rPr>
                <w:rFonts w:ascii="Titillium" w:eastAsia="Titillium" w:hAnsi="Titillium" w:cs="Titillium"/>
                <w:b/>
                <w:bCs/>
              </w:rPr>
              <w:t xml:space="preserve">Structured </w:t>
            </w:r>
            <w:proofErr w:type="spellStart"/>
            <w:r w:rsidRPr="636C4F36">
              <w:rPr>
                <w:rFonts w:ascii="Titillium" w:eastAsia="Titillium" w:hAnsi="Titillium" w:cs="Titillium"/>
                <w:b/>
                <w:bCs/>
              </w:rPr>
              <w:t>data</w:t>
            </w:r>
            <w:proofErr w:type="spellEnd"/>
            <w:r w:rsidRPr="636C4F36">
              <w:rPr>
                <w:rFonts w:ascii="Titillium" w:eastAsia="Titillium" w:hAnsi="Titillium" w:cs="Titillium"/>
                <w:b/>
                <w:bCs/>
              </w:rPr>
              <w:t>:</w:t>
            </w:r>
          </w:p>
        </w:tc>
      </w:tr>
      <w:tr w:rsidR="00423AF0" w14:paraId="42FFCF6B" w14:textId="77777777" w:rsidTr="003379AC">
        <w:trPr>
          <w:trHeight w:val="532"/>
        </w:trPr>
        <w:tc>
          <w:tcPr>
            <w:tcW w:w="5485" w:type="dxa"/>
            <w:gridSpan w:val="2"/>
            <w:vMerge/>
          </w:tcPr>
          <w:p w14:paraId="09600881" w14:textId="77777777" w:rsidR="00423AF0" w:rsidRDefault="00423AF0" w:rsidP="003379AC">
            <w:pPr>
              <w:jc w:val="both"/>
            </w:pPr>
          </w:p>
        </w:tc>
        <w:tc>
          <w:tcPr>
            <w:tcW w:w="3865" w:type="dxa"/>
          </w:tcPr>
          <w:p w14:paraId="4432EE2B" w14:textId="77777777" w:rsidR="00423AF0" w:rsidRPr="00423AF0" w:rsidRDefault="00423AF0" w:rsidP="00D90AD3">
            <w:pPr>
              <w:pStyle w:val="ListParagraph"/>
              <w:numPr>
                <w:ilvl w:val="0"/>
                <w:numId w:val="37"/>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Name of the applicant to the Cluster programme or Name of the training participants</w:t>
            </w:r>
          </w:p>
          <w:p w14:paraId="70E7AF06" w14:textId="77777777" w:rsidR="00423AF0" w:rsidRPr="00423AF0" w:rsidRDefault="00423AF0" w:rsidP="00D90AD3">
            <w:pPr>
              <w:pStyle w:val="ListParagraph"/>
              <w:numPr>
                <w:ilvl w:val="0"/>
                <w:numId w:val="37"/>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lastRenderedPageBreak/>
              <w:t>Title of the cluster programme or the training programme</w:t>
            </w:r>
          </w:p>
          <w:p w14:paraId="03327D5B" w14:textId="77777777" w:rsidR="00423AF0" w:rsidRPr="00423AF0" w:rsidRDefault="00423AF0" w:rsidP="00D90AD3">
            <w:pPr>
              <w:pStyle w:val="ListParagraph"/>
              <w:numPr>
                <w:ilvl w:val="0"/>
                <w:numId w:val="37"/>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Means of support provided by the ECO</w:t>
            </w:r>
          </w:p>
        </w:tc>
      </w:tr>
    </w:tbl>
    <w:p w14:paraId="6AC52106" w14:textId="77777777" w:rsidR="00423AF0" w:rsidRDefault="00423AF0" w:rsidP="00423AF0">
      <w:pPr>
        <w:jc w:val="both"/>
        <w:rPr>
          <w:rFonts w:ascii="Titillium" w:eastAsia="Titillium" w:hAnsi="Titillium" w:cs="Titillium"/>
        </w:rPr>
      </w:pPr>
    </w:p>
    <w:tbl>
      <w:tblPr>
        <w:tblStyle w:val="TableGrid"/>
        <w:tblW w:w="0" w:type="auto"/>
        <w:tblLook w:val="04A0" w:firstRow="1" w:lastRow="0" w:firstColumn="1" w:lastColumn="0" w:noHBand="0" w:noVBand="1"/>
      </w:tblPr>
      <w:tblGrid>
        <w:gridCol w:w="1866"/>
        <w:gridCol w:w="3525"/>
        <w:gridCol w:w="3813"/>
      </w:tblGrid>
      <w:tr w:rsidR="00423AF0" w14:paraId="02732336" w14:textId="77777777" w:rsidTr="003379AC">
        <w:trPr>
          <w:trHeight w:val="300"/>
        </w:trPr>
        <w:tc>
          <w:tcPr>
            <w:tcW w:w="1885" w:type="dxa"/>
            <w:shd w:val="clear" w:color="auto" w:fill="002060"/>
          </w:tcPr>
          <w:p w14:paraId="2790DC44" w14:textId="77777777" w:rsidR="00423AF0" w:rsidRDefault="00423AF0" w:rsidP="003379AC">
            <w:pPr>
              <w:rPr>
                <w:rFonts w:ascii="Titillium" w:eastAsia="Titillium" w:hAnsi="Titillium" w:cs="Titillium"/>
                <w:b/>
                <w:bCs/>
                <w:color w:val="FFFFFF" w:themeColor="background1"/>
              </w:rPr>
            </w:pPr>
            <w:r w:rsidRPr="636C4F36">
              <w:rPr>
                <w:rFonts w:ascii="Titillium" w:eastAsia="Titillium" w:hAnsi="Titillium" w:cs="Titillium"/>
                <w:b/>
                <w:bCs/>
                <w:color w:val="FFFFFF" w:themeColor="background1"/>
              </w:rPr>
              <w:t>EITECO02</w:t>
            </w:r>
          </w:p>
        </w:tc>
        <w:tc>
          <w:tcPr>
            <w:tcW w:w="7465" w:type="dxa"/>
            <w:gridSpan w:val="2"/>
            <w:shd w:val="clear" w:color="auto" w:fill="002060"/>
          </w:tcPr>
          <w:p w14:paraId="7B5EE48E" w14:textId="77777777" w:rsidR="00423AF0" w:rsidRPr="00423AF0" w:rsidRDefault="00423AF0" w:rsidP="003379AC">
            <w:pP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Applicants, participants supported/referred by the ECO to the KIC’s innovation, education, business creation calls</w:t>
            </w:r>
          </w:p>
        </w:tc>
      </w:tr>
      <w:tr w:rsidR="00423AF0" w14:paraId="22DF91EC" w14:textId="77777777" w:rsidTr="003379AC">
        <w:trPr>
          <w:trHeight w:val="300"/>
        </w:trPr>
        <w:tc>
          <w:tcPr>
            <w:tcW w:w="5485" w:type="dxa"/>
            <w:gridSpan w:val="2"/>
            <w:vMerge w:val="restart"/>
          </w:tcPr>
          <w:p w14:paraId="161A7967" w14:textId="77777777" w:rsidR="00423AF0" w:rsidRPr="00423AF0" w:rsidRDefault="00423AF0" w:rsidP="003379AC">
            <w:pPr>
              <w:jc w:val="both"/>
              <w:rPr>
                <w:rFonts w:ascii="Titillium" w:eastAsia="Titillium" w:hAnsi="Titillium" w:cs="Titillium"/>
                <w:lang w:val="en-GB"/>
              </w:rPr>
            </w:pPr>
            <w:r w:rsidRPr="00423AF0">
              <w:rPr>
                <w:rFonts w:ascii="Titillium" w:eastAsia="Titillium" w:hAnsi="Titillium" w:cs="Titillium"/>
                <w:b/>
                <w:bCs/>
                <w:lang w:val="en-GB"/>
              </w:rPr>
              <w:t>Definition</w:t>
            </w:r>
            <w:r w:rsidRPr="00423AF0">
              <w:rPr>
                <w:rFonts w:ascii="Titillium" w:eastAsia="Titillium" w:hAnsi="Titillium" w:cs="Titillium"/>
                <w:lang w:val="en-GB"/>
              </w:rPr>
              <w:t xml:space="preserve">: </w:t>
            </w:r>
          </w:p>
          <w:p w14:paraId="10B03366" w14:textId="77777777" w:rsidR="00423AF0" w:rsidRPr="00423AF0" w:rsidRDefault="00423AF0" w:rsidP="003379AC">
            <w:pPr>
              <w:jc w:val="both"/>
              <w:rPr>
                <w:rFonts w:ascii="Titillium" w:eastAsia="Titillium" w:hAnsi="Titillium" w:cs="Titillium"/>
                <w:lang w:val="en-GB"/>
              </w:rPr>
            </w:pPr>
            <w:r w:rsidRPr="00423AF0">
              <w:rPr>
                <w:rFonts w:ascii="Titillium" w:eastAsia="Titillium" w:hAnsi="Titillium" w:cs="Titillium"/>
                <w:lang w:val="en-GB"/>
              </w:rPr>
              <w:t>EIT Community Officers are requested to strategically scout and secure new applicants, applications to the calls published by the KICs in the areas of innovation, education and business creation and ensure participants at KICs education programmes.</w:t>
            </w:r>
          </w:p>
          <w:p w14:paraId="52B08567" w14:textId="77777777" w:rsidR="00423AF0" w:rsidRPr="00423AF0" w:rsidRDefault="00423AF0" w:rsidP="003379AC">
            <w:pPr>
              <w:spacing w:line="259" w:lineRule="auto"/>
              <w:jc w:val="both"/>
              <w:rPr>
                <w:rFonts w:ascii="Titillium" w:eastAsia="Titillium" w:hAnsi="Titillium" w:cs="Titillium"/>
                <w:lang w:val="en-GB"/>
              </w:rPr>
            </w:pPr>
          </w:p>
        </w:tc>
        <w:tc>
          <w:tcPr>
            <w:tcW w:w="3865" w:type="dxa"/>
          </w:tcPr>
          <w:p w14:paraId="58FAA6D8" w14:textId="77777777" w:rsidR="00423AF0" w:rsidRDefault="00423AF0" w:rsidP="003379AC">
            <w:pPr>
              <w:rPr>
                <w:rFonts w:ascii="Titillium" w:eastAsia="Titillium" w:hAnsi="Titillium" w:cs="Titillium"/>
                <w:b/>
                <w:bCs/>
              </w:rPr>
            </w:pPr>
            <w:proofErr w:type="spellStart"/>
            <w:r w:rsidRPr="636C4F36">
              <w:rPr>
                <w:rFonts w:ascii="Titillium" w:eastAsia="Titillium" w:hAnsi="Titillium" w:cs="Titillium"/>
                <w:b/>
                <w:bCs/>
              </w:rPr>
              <w:t>Evidence</w:t>
            </w:r>
            <w:proofErr w:type="spellEnd"/>
            <w:r w:rsidRPr="636C4F36">
              <w:rPr>
                <w:rFonts w:ascii="Titillium" w:eastAsia="Titillium" w:hAnsi="Titillium" w:cs="Titillium"/>
                <w:b/>
                <w:bCs/>
              </w:rPr>
              <w:t>:</w:t>
            </w:r>
          </w:p>
        </w:tc>
      </w:tr>
      <w:tr w:rsidR="00423AF0" w14:paraId="0BCA2293" w14:textId="77777777" w:rsidTr="003379AC">
        <w:trPr>
          <w:trHeight w:val="300"/>
        </w:trPr>
        <w:tc>
          <w:tcPr>
            <w:tcW w:w="5485" w:type="dxa"/>
            <w:gridSpan w:val="2"/>
            <w:vMerge/>
          </w:tcPr>
          <w:p w14:paraId="75EDE253" w14:textId="77777777" w:rsidR="00423AF0" w:rsidRDefault="00423AF0" w:rsidP="003379AC"/>
        </w:tc>
        <w:tc>
          <w:tcPr>
            <w:tcW w:w="3865" w:type="dxa"/>
            <w:vAlign w:val="center"/>
          </w:tcPr>
          <w:p w14:paraId="421070F4" w14:textId="77777777" w:rsidR="00423AF0" w:rsidRPr="00423AF0" w:rsidRDefault="00423AF0" w:rsidP="003379AC">
            <w:pPr>
              <w:rPr>
                <w:rFonts w:ascii="Titillium" w:eastAsia="Titillium" w:hAnsi="Titillium" w:cs="Titillium"/>
                <w:szCs w:val="20"/>
                <w:lang w:val="en-GB"/>
              </w:rPr>
            </w:pPr>
            <w:r w:rsidRPr="00423AF0">
              <w:rPr>
                <w:rFonts w:ascii="Titillium" w:eastAsia="Titillium" w:hAnsi="Titillium" w:cs="Titillium"/>
                <w:szCs w:val="20"/>
                <w:lang w:val="en-GB"/>
              </w:rPr>
              <w:t>Cross-check of the applications registry of the KIC calls and training programme participant list with the submitted structured data</w:t>
            </w:r>
          </w:p>
        </w:tc>
      </w:tr>
      <w:tr w:rsidR="00423AF0" w14:paraId="7162ADE6" w14:textId="77777777" w:rsidTr="003379AC">
        <w:trPr>
          <w:trHeight w:val="300"/>
        </w:trPr>
        <w:tc>
          <w:tcPr>
            <w:tcW w:w="5485" w:type="dxa"/>
            <w:gridSpan w:val="2"/>
            <w:vMerge/>
          </w:tcPr>
          <w:p w14:paraId="649D2463" w14:textId="77777777" w:rsidR="00423AF0" w:rsidRPr="00423AF0" w:rsidRDefault="00423AF0" w:rsidP="003379AC">
            <w:pPr>
              <w:rPr>
                <w:lang w:val="en-GB"/>
              </w:rPr>
            </w:pPr>
          </w:p>
        </w:tc>
        <w:tc>
          <w:tcPr>
            <w:tcW w:w="3865" w:type="dxa"/>
          </w:tcPr>
          <w:p w14:paraId="7B89D2A3" w14:textId="77777777" w:rsidR="00423AF0" w:rsidRDefault="00423AF0" w:rsidP="003379AC">
            <w:pPr>
              <w:rPr>
                <w:rFonts w:ascii="Titillium" w:eastAsia="Titillium" w:hAnsi="Titillium" w:cs="Titillium"/>
                <w:b/>
                <w:bCs/>
              </w:rPr>
            </w:pPr>
            <w:proofErr w:type="spellStart"/>
            <w:r w:rsidRPr="636C4F36">
              <w:rPr>
                <w:rFonts w:ascii="Titillium" w:eastAsia="Titillium" w:hAnsi="Titillium" w:cs="Titillium"/>
                <w:b/>
                <w:bCs/>
              </w:rPr>
              <w:t>Evidence</w:t>
            </w:r>
            <w:proofErr w:type="spellEnd"/>
            <w:r w:rsidRPr="636C4F36">
              <w:rPr>
                <w:rFonts w:ascii="Titillium" w:eastAsia="Titillium" w:hAnsi="Titillium" w:cs="Titillium"/>
                <w:b/>
                <w:bCs/>
              </w:rPr>
              <w:t xml:space="preserve"> </w:t>
            </w:r>
            <w:proofErr w:type="spellStart"/>
            <w:r w:rsidRPr="636C4F36">
              <w:rPr>
                <w:rFonts w:ascii="Titillium" w:eastAsia="Titillium" w:hAnsi="Titillium" w:cs="Titillium"/>
                <w:b/>
                <w:bCs/>
              </w:rPr>
              <w:t>or</w:t>
            </w:r>
            <w:proofErr w:type="spellEnd"/>
            <w:r w:rsidRPr="636C4F36">
              <w:rPr>
                <w:rFonts w:ascii="Titillium" w:eastAsia="Titillium" w:hAnsi="Titillium" w:cs="Titillium"/>
                <w:b/>
                <w:bCs/>
              </w:rPr>
              <w:t xml:space="preserve"> </w:t>
            </w:r>
            <w:proofErr w:type="spellStart"/>
            <w:r w:rsidRPr="636C4F36">
              <w:rPr>
                <w:rFonts w:ascii="Titillium" w:eastAsia="Titillium" w:hAnsi="Titillium" w:cs="Titillium"/>
                <w:b/>
                <w:bCs/>
              </w:rPr>
              <w:t>structured</w:t>
            </w:r>
            <w:proofErr w:type="spellEnd"/>
            <w:r w:rsidRPr="636C4F36">
              <w:rPr>
                <w:rFonts w:ascii="Titillium" w:eastAsia="Titillium" w:hAnsi="Titillium" w:cs="Titillium"/>
                <w:b/>
                <w:bCs/>
              </w:rPr>
              <w:t xml:space="preserve"> </w:t>
            </w:r>
            <w:proofErr w:type="spellStart"/>
            <w:r w:rsidRPr="636C4F36">
              <w:rPr>
                <w:rFonts w:ascii="Titillium" w:eastAsia="Titillium" w:hAnsi="Titillium" w:cs="Titillium"/>
                <w:b/>
                <w:bCs/>
              </w:rPr>
              <w:t>data</w:t>
            </w:r>
            <w:proofErr w:type="spellEnd"/>
            <w:r w:rsidRPr="636C4F36">
              <w:rPr>
                <w:rFonts w:ascii="Titillium" w:eastAsia="Titillium" w:hAnsi="Titillium" w:cs="Titillium"/>
                <w:b/>
                <w:bCs/>
              </w:rPr>
              <w:t>:</w:t>
            </w:r>
          </w:p>
        </w:tc>
      </w:tr>
      <w:tr w:rsidR="00423AF0" w14:paraId="3106BFE9" w14:textId="77777777" w:rsidTr="003379AC">
        <w:trPr>
          <w:trHeight w:val="300"/>
        </w:trPr>
        <w:tc>
          <w:tcPr>
            <w:tcW w:w="5485" w:type="dxa"/>
            <w:gridSpan w:val="2"/>
            <w:vMerge/>
          </w:tcPr>
          <w:p w14:paraId="71B645F7" w14:textId="77777777" w:rsidR="00423AF0" w:rsidRDefault="00423AF0" w:rsidP="003379AC"/>
        </w:tc>
        <w:tc>
          <w:tcPr>
            <w:tcW w:w="3865" w:type="dxa"/>
          </w:tcPr>
          <w:p w14:paraId="78A706D8" w14:textId="77777777" w:rsidR="00423AF0" w:rsidRDefault="00423AF0" w:rsidP="00D90AD3">
            <w:pPr>
              <w:pStyle w:val="ListParagraph"/>
              <w:numPr>
                <w:ilvl w:val="0"/>
                <w:numId w:val="37"/>
              </w:numPr>
              <w:spacing w:after="0" w:line="240" w:lineRule="auto"/>
              <w:rPr>
                <w:rFonts w:ascii="Titillium" w:eastAsia="Titillium" w:hAnsi="Titillium" w:cs="Titillium"/>
                <w:szCs w:val="20"/>
              </w:rPr>
            </w:pPr>
            <w:r w:rsidRPr="636C4F36">
              <w:rPr>
                <w:rFonts w:ascii="Titillium" w:eastAsia="Titillium" w:hAnsi="Titillium" w:cs="Titillium"/>
                <w:szCs w:val="20"/>
              </w:rPr>
              <w:t xml:space="preserve">Name </w:t>
            </w:r>
            <w:proofErr w:type="spellStart"/>
            <w:r w:rsidRPr="636C4F36">
              <w:rPr>
                <w:rFonts w:ascii="Titillium" w:eastAsia="Titillium" w:hAnsi="Titillium" w:cs="Titillium"/>
                <w:szCs w:val="20"/>
              </w:rPr>
              <w:t>of</w:t>
            </w:r>
            <w:proofErr w:type="spellEnd"/>
            <w:r w:rsidRPr="636C4F36">
              <w:rPr>
                <w:rFonts w:ascii="Titillium" w:eastAsia="Titillium" w:hAnsi="Titillium" w:cs="Titillium"/>
                <w:szCs w:val="20"/>
              </w:rPr>
              <w:t xml:space="preserve"> </w:t>
            </w:r>
            <w:proofErr w:type="spellStart"/>
            <w:r w:rsidRPr="636C4F36">
              <w:rPr>
                <w:rFonts w:ascii="Titillium" w:eastAsia="Titillium" w:hAnsi="Titillium" w:cs="Titillium"/>
                <w:szCs w:val="20"/>
              </w:rPr>
              <w:t>the</w:t>
            </w:r>
            <w:proofErr w:type="spellEnd"/>
            <w:r w:rsidRPr="636C4F36">
              <w:rPr>
                <w:rFonts w:ascii="Titillium" w:eastAsia="Titillium" w:hAnsi="Titillium" w:cs="Titillium"/>
                <w:szCs w:val="20"/>
              </w:rPr>
              <w:t xml:space="preserve"> </w:t>
            </w:r>
            <w:proofErr w:type="spellStart"/>
            <w:r w:rsidRPr="636C4F36">
              <w:rPr>
                <w:rFonts w:ascii="Titillium" w:eastAsia="Titillium" w:hAnsi="Titillium" w:cs="Titillium"/>
                <w:szCs w:val="20"/>
              </w:rPr>
              <w:t>applicant</w:t>
            </w:r>
            <w:proofErr w:type="spellEnd"/>
          </w:p>
          <w:p w14:paraId="3ABE7EE3" w14:textId="77777777" w:rsidR="00423AF0" w:rsidRDefault="00423AF0" w:rsidP="00D90AD3">
            <w:pPr>
              <w:pStyle w:val="ListParagraph"/>
              <w:numPr>
                <w:ilvl w:val="0"/>
                <w:numId w:val="37"/>
              </w:numPr>
              <w:spacing w:after="0" w:line="240" w:lineRule="auto"/>
              <w:rPr>
                <w:rFonts w:ascii="Titillium" w:eastAsia="Titillium" w:hAnsi="Titillium" w:cs="Titillium"/>
                <w:szCs w:val="20"/>
              </w:rPr>
            </w:pPr>
            <w:r w:rsidRPr="636C4F36">
              <w:rPr>
                <w:rFonts w:ascii="Titillium" w:eastAsia="Titillium" w:hAnsi="Titillium" w:cs="Titillium"/>
                <w:szCs w:val="20"/>
              </w:rPr>
              <w:t xml:space="preserve">Title </w:t>
            </w:r>
            <w:proofErr w:type="spellStart"/>
            <w:r w:rsidRPr="636C4F36">
              <w:rPr>
                <w:rFonts w:ascii="Titillium" w:eastAsia="Titillium" w:hAnsi="Titillium" w:cs="Titillium"/>
                <w:szCs w:val="20"/>
              </w:rPr>
              <w:t>of</w:t>
            </w:r>
            <w:proofErr w:type="spellEnd"/>
            <w:r w:rsidRPr="636C4F36">
              <w:rPr>
                <w:rFonts w:ascii="Titillium" w:eastAsia="Titillium" w:hAnsi="Titillium" w:cs="Titillium"/>
                <w:szCs w:val="20"/>
              </w:rPr>
              <w:t xml:space="preserve"> </w:t>
            </w:r>
            <w:proofErr w:type="spellStart"/>
            <w:r w:rsidRPr="636C4F36">
              <w:rPr>
                <w:rFonts w:ascii="Titillium" w:eastAsia="Titillium" w:hAnsi="Titillium" w:cs="Titillium"/>
                <w:szCs w:val="20"/>
              </w:rPr>
              <w:t>the</w:t>
            </w:r>
            <w:proofErr w:type="spellEnd"/>
            <w:r w:rsidRPr="636C4F36">
              <w:rPr>
                <w:rFonts w:ascii="Titillium" w:eastAsia="Titillium" w:hAnsi="Titillium" w:cs="Titillium"/>
                <w:szCs w:val="20"/>
              </w:rPr>
              <w:t xml:space="preserve"> KIC </w:t>
            </w:r>
            <w:proofErr w:type="spellStart"/>
            <w:r w:rsidRPr="636C4F36">
              <w:rPr>
                <w:rFonts w:ascii="Titillium" w:eastAsia="Titillium" w:hAnsi="Titillium" w:cs="Titillium"/>
                <w:szCs w:val="20"/>
              </w:rPr>
              <w:t>call</w:t>
            </w:r>
            <w:proofErr w:type="spellEnd"/>
          </w:p>
          <w:p w14:paraId="39168C07" w14:textId="77777777" w:rsidR="00423AF0" w:rsidRPr="00423AF0" w:rsidRDefault="00423AF0" w:rsidP="00D90AD3">
            <w:pPr>
              <w:pStyle w:val="ListParagraph"/>
              <w:numPr>
                <w:ilvl w:val="0"/>
                <w:numId w:val="37"/>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Means of support provided by the ECO</w:t>
            </w:r>
          </w:p>
        </w:tc>
      </w:tr>
    </w:tbl>
    <w:p w14:paraId="6AFD1F8A" w14:textId="77777777" w:rsidR="00423AF0" w:rsidRDefault="00423AF0" w:rsidP="00423AF0">
      <w:pPr>
        <w:jc w:val="both"/>
        <w:rPr>
          <w:rFonts w:ascii="Titillium" w:eastAsia="Titillium" w:hAnsi="Titillium" w:cs="Titillium"/>
        </w:rPr>
      </w:pPr>
    </w:p>
    <w:tbl>
      <w:tblPr>
        <w:tblStyle w:val="TableGrid"/>
        <w:tblW w:w="0" w:type="auto"/>
        <w:tblLook w:val="04A0" w:firstRow="1" w:lastRow="0" w:firstColumn="1" w:lastColumn="0" w:noHBand="0" w:noVBand="1"/>
      </w:tblPr>
      <w:tblGrid>
        <w:gridCol w:w="1874"/>
        <w:gridCol w:w="3521"/>
        <w:gridCol w:w="3809"/>
      </w:tblGrid>
      <w:tr w:rsidR="00423AF0" w14:paraId="3192AB88" w14:textId="77777777" w:rsidTr="003379AC">
        <w:tc>
          <w:tcPr>
            <w:tcW w:w="1885" w:type="dxa"/>
            <w:shd w:val="clear" w:color="auto" w:fill="002060"/>
          </w:tcPr>
          <w:p w14:paraId="0BAFDF6E" w14:textId="77777777" w:rsidR="00423AF0" w:rsidRPr="00AA31C6" w:rsidRDefault="00423AF0" w:rsidP="003379AC">
            <w:pPr>
              <w:rPr>
                <w:rFonts w:ascii="Titillium" w:eastAsia="Titillium" w:hAnsi="Titillium" w:cs="Titillium"/>
                <w:b/>
                <w:bCs/>
                <w:color w:val="FFFFFF" w:themeColor="background1"/>
              </w:rPr>
            </w:pPr>
            <w:r w:rsidRPr="636C4F36">
              <w:rPr>
                <w:rFonts w:ascii="Titillium" w:eastAsia="Titillium" w:hAnsi="Titillium" w:cs="Titillium"/>
                <w:b/>
                <w:bCs/>
                <w:color w:val="FFFFFF" w:themeColor="background1"/>
              </w:rPr>
              <w:t>EITECO03</w:t>
            </w:r>
          </w:p>
        </w:tc>
        <w:tc>
          <w:tcPr>
            <w:tcW w:w="7465" w:type="dxa"/>
            <w:gridSpan w:val="2"/>
            <w:shd w:val="clear" w:color="auto" w:fill="002060"/>
          </w:tcPr>
          <w:p w14:paraId="751B40D2" w14:textId="77777777" w:rsidR="00423AF0" w:rsidRPr="00423AF0" w:rsidRDefault="00423AF0" w:rsidP="003379AC">
            <w:pP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Number of leads for revenue, funding facilitated by the ECO to contribute to the financial sustainability of the RI&amp;I Cluster</w:t>
            </w:r>
          </w:p>
        </w:tc>
      </w:tr>
      <w:tr w:rsidR="00423AF0" w14:paraId="4BFEB522" w14:textId="77777777" w:rsidTr="003379AC">
        <w:tc>
          <w:tcPr>
            <w:tcW w:w="5485" w:type="dxa"/>
            <w:gridSpan w:val="2"/>
            <w:vMerge w:val="restart"/>
          </w:tcPr>
          <w:p w14:paraId="62CB41F7" w14:textId="77777777" w:rsidR="00423AF0" w:rsidRPr="00423AF0" w:rsidRDefault="00423AF0" w:rsidP="003379AC">
            <w:pPr>
              <w:jc w:val="both"/>
              <w:rPr>
                <w:rFonts w:ascii="Titillium" w:eastAsia="Titillium" w:hAnsi="Titillium" w:cs="Titillium"/>
                <w:b/>
                <w:bCs/>
                <w:lang w:val="en-GB"/>
              </w:rPr>
            </w:pPr>
            <w:r w:rsidRPr="00423AF0">
              <w:rPr>
                <w:rFonts w:ascii="Titillium" w:eastAsia="Titillium" w:hAnsi="Titillium" w:cs="Titillium"/>
                <w:b/>
                <w:bCs/>
                <w:lang w:val="en-GB"/>
              </w:rPr>
              <w:t xml:space="preserve">Definition: </w:t>
            </w:r>
          </w:p>
          <w:p w14:paraId="2AAE9E76" w14:textId="77777777" w:rsidR="00423AF0" w:rsidRPr="00423AF0" w:rsidRDefault="00423AF0" w:rsidP="003379AC">
            <w:pPr>
              <w:jc w:val="both"/>
              <w:rPr>
                <w:rFonts w:ascii="Titillium" w:eastAsia="Titillium" w:hAnsi="Titillium" w:cs="Titillium"/>
                <w:lang w:val="en-GB"/>
              </w:rPr>
            </w:pPr>
            <w:r w:rsidRPr="00423AF0">
              <w:rPr>
                <w:rFonts w:ascii="Titillium" w:eastAsia="Titillium" w:hAnsi="Titillium" w:cs="Titillium"/>
                <w:lang w:val="en-GB"/>
              </w:rPr>
              <w:t xml:space="preserve">EIT Community Officers are requested to support revenue generation and secure funding to contribute to the financial sustainability of the RI&amp;I Cluster by supporting EIT </w:t>
            </w:r>
            <w:proofErr w:type="spellStart"/>
            <w:r w:rsidRPr="00423AF0">
              <w:rPr>
                <w:rFonts w:ascii="Titillium" w:eastAsia="Titillium" w:hAnsi="Titillium" w:cs="Titillium"/>
                <w:lang w:val="en-GB"/>
              </w:rPr>
              <w:t>Jumpstarter</w:t>
            </w:r>
            <w:proofErr w:type="spellEnd"/>
            <w:r w:rsidRPr="00423AF0">
              <w:rPr>
                <w:rFonts w:ascii="Titillium" w:eastAsia="Titillium" w:hAnsi="Titillium" w:cs="Titillium"/>
                <w:lang w:val="en-GB"/>
              </w:rPr>
              <w:t>, Global Outreach and Regional Innovation Booster programmes supported startups, scaleups to attract investment, local funding. EIT Community Officers are also requested to contribute selling the Global Outreach services/modules.</w:t>
            </w:r>
          </w:p>
        </w:tc>
        <w:tc>
          <w:tcPr>
            <w:tcW w:w="3865" w:type="dxa"/>
          </w:tcPr>
          <w:p w14:paraId="0801E6C4" w14:textId="77777777" w:rsidR="00423AF0" w:rsidRPr="00AA31C6" w:rsidRDefault="00423AF0" w:rsidP="003379AC">
            <w:pPr>
              <w:rPr>
                <w:rFonts w:ascii="Titillium" w:eastAsia="Titillium" w:hAnsi="Titillium" w:cs="Titillium"/>
                <w:b/>
                <w:bCs/>
              </w:rPr>
            </w:pPr>
            <w:proofErr w:type="spellStart"/>
            <w:r w:rsidRPr="636C4F36">
              <w:rPr>
                <w:rFonts w:ascii="Titillium" w:eastAsia="Titillium" w:hAnsi="Titillium" w:cs="Titillium"/>
                <w:b/>
                <w:bCs/>
              </w:rPr>
              <w:t>Evidence</w:t>
            </w:r>
            <w:proofErr w:type="spellEnd"/>
            <w:r w:rsidRPr="636C4F36">
              <w:rPr>
                <w:rFonts w:ascii="Titillium" w:eastAsia="Titillium" w:hAnsi="Titillium" w:cs="Titillium"/>
                <w:b/>
                <w:bCs/>
              </w:rPr>
              <w:t>:</w:t>
            </w:r>
          </w:p>
        </w:tc>
      </w:tr>
      <w:tr w:rsidR="00423AF0" w14:paraId="6C212A7C" w14:textId="77777777" w:rsidTr="003379AC">
        <w:trPr>
          <w:trHeight w:val="532"/>
        </w:trPr>
        <w:tc>
          <w:tcPr>
            <w:tcW w:w="5485" w:type="dxa"/>
            <w:gridSpan w:val="2"/>
            <w:vMerge/>
          </w:tcPr>
          <w:p w14:paraId="0577C195" w14:textId="77777777" w:rsidR="00423AF0" w:rsidRDefault="00423AF0" w:rsidP="003379AC">
            <w:pPr>
              <w:jc w:val="both"/>
            </w:pPr>
          </w:p>
        </w:tc>
        <w:tc>
          <w:tcPr>
            <w:tcW w:w="3865" w:type="dxa"/>
            <w:vAlign w:val="center"/>
          </w:tcPr>
          <w:p w14:paraId="5E4A17A4" w14:textId="77777777" w:rsidR="00423AF0" w:rsidRPr="00423AF0" w:rsidRDefault="00423AF0" w:rsidP="003379AC">
            <w:pPr>
              <w:rPr>
                <w:rFonts w:ascii="Titillium" w:eastAsia="Titillium" w:hAnsi="Titillium" w:cs="Titillium"/>
                <w:szCs w:val="20"/>
                <w:lang w:val="en-GB"/>
              </w:rPr>
            </w:pPr>
            <w:r w:rsidRPr="00423AF0">
              <w:rPr>
                <w:rFonts w:ascii="Titillium" w:eastAsia="Titillium" w:hAnsi="Titillium" w:cs="Titillium"/>
                <w:szCs w:val="20"/>
                <w:lang w:val="en-GB"/>
              </w:rPr>
              <w:t xml:space="preserve">Strand 1. and 2. Signed declaration of the startup, scaleup supported by the ECO indicating the amount of investment attracted or funding raised, and the support provided by the ECO attaching any public information, term sheet or proof of the investment closed. </w:t>
            </w:r>
          </w:p>
          <w:p w14:paraId="5B79D65A" w14:textId="77777777" w:rsidR="00423AF0" w:rsidRPr="00423AF0" w:rsidRDefault="00423AF0" w:rsidP="003379AC">
            <w:pPr>
              <w:rPr>
                <w:rFonts w:ascii="Titillium" w:eastAsia="Titillium" w:hAnsi="Titillium" w:cs="Titillium"/>
                <w:szCs w:val="20"/>
                <w:lang w:val="en-GB"/>
              </w:rPr>
            </w:pPr>
            <w:r w:rsidRPr="00423AF0">
              <w:rPr>
                <w:rFonts w:ascii="Titillium" w:eastAsia="Titillium" w:hAnsi="Titillium" w:cs="Titillium"/>
                <w:szCs w:val="20"/>
                <w:lang w:val="en-GB"/>
              </w:rPr>
              <w:t>Strand 3. Invoice issued by Global Outreach</w:t>
            </w:r>
          </w:p>
        </w:tc>
      </w:tr>
      <w:tr w:rsidR="00423AF0" w14:paraId="6A23558E" w14:textId="77777777" w:rsidTr="003379AC">
        <w:trPr>
          <w:trHeight w:val="296"/>
        </w:trPr>
        <w:tc>
          <w:tcPr>
            <w:tcW w:w="5485" w:type="dxa"/>
            <w:gridSpan w:val="2"/>
            <w:vMerge/>
          </w:tcPr>
          <w:p w14:paraId="4F67D78C" w14:textId="77777777" w:rsidR="00423AF0" w:rsidRPr="00423AF0" w:rsidRDefault="00423AF0" w:rsidP="003379AC">
            <w:pPr>
              <w:jc w:val="both"/>
              <w:rPr>
                <w:lang w:val="en-GB"/>
              </w:rPr>
            </w:pPr>
          </w:p>
        </w:tc>
        <w:tc>
          <w:tcPr>
            <w:tcW w:w="3865" w:type="dxa"/>
          </w:tcPr>
          <w:p w14:paraId="5DC5037A" w14:textId="77777777" w:rsidR="00423AF0" w:rsidRPr="00AA31C6" w:rsidRDefault="00423AF0" w:rsidP="003379AC">
            <w:pPr>
              <w:rPr>
                <w:rFonts w:ascii="Titillium" w:eastAsia="Titillium" w:hAnsi="Titillium" w:cs="Titillium"/>
                <w:b/>
                <w:bCs/>
              </w:rPr>
            </w:pPr>
            <w:r w:rsidRPr="636C4F36">
              <w:rPr>
                <w:rFonts w:ascii="Titillium" w:eastAsia="Titillium" w:hAnsi="Titillium" w:cs="Titillium"/>
                <w:b/>
                <w:bCs/>
              </w:rPr>
              <w:t xml:space="preserve">Structured </w:t>
            </w:r>
            <w:proofErr w:type="spellStart"/>
            <w:r w:rsidRPr="636C4F36">
              <w:rPr>
                <w:rFonts w:ascii="Titillium" w:eastAsia="Titillium" w:hAnsi="Titillium" w:cs="Titillium"/>
                <w:b/>
                <w:bCs/>
              </w:rPr>
              <w:t>data</w:t>
            </w:r>
            <w:proofErr w:type="spellEnd"/>
            <w:r w:rsidRPr="636C4F36">
              <w:rPr>
                <w:rFonts w:ascii="Titillium" w:eastAsia="Titillium" w:hAnsi="Titillium" w:cs="Titillium"/>
                <w:b/>
                <w:bCs/>
              </w:rPr>
              <w:t>:</w:t>
            </w:r>
          </w:p>
        </w:tc>
      </w:tr>
      <w:tr w:rsidR="00423AF0" w14:paraId="3DBA67CA" w14:textId="77777777" w:rsidTr="003379AC">
        <w:trPr>
          <w:trHeight w:val="532"/>
        </w:trPr>
        <w:tc>
          <w:tcPr>
            <w:tcW w:w="5485" w:type="dxa"/>
            <w:gridSpan w:val="2"/>
            <w:vMerge/>
          </w:tcPr>
          <w:p w14:paraId="68961A8D" w14:textId="77777777" w:rsidR="00423AF0" w:rsidRDefault="00423AF0" w:rsidP="003379AC">
            <w:pPr>
              <w:jc w:val="both"/>
            </w:pPr>
          </w:p>
        </w:tc>
        <w:tc>
          <w:tcPr>
            <w:tcW w:w="3865" w:type="dxa"/>
          </w:tcPr>
          <w:p w14:paraId="618577A0" w14:textId="77777777" w:rsidR="00423AF0" w:rsidRPr="00423AF0" w:rsidRDefault="00423AF0" w:rsidP="00D90AD3">
            <w:pPr>
              <w:pStyle w:val="ListParagraph"/>
              <w:numPr>
                <w:ilvl w:val="0"/>
                <w:numId w:val="37"/>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Name of the startup, scaleup supported</w:t>
            </w:r>
          </w:p>
          <w:p w14:paraId="584B1E40" w14:textId="77777777" w:rsidR="00423AF0" w:rsidRPr="00AA31C6" w:rsidRDefault="00423AF0" w:rsidP="00D90AD3">
            <w:pPr>
              <w:pStyle w:val="ListParagraph"/>
              <w:numPr>
                <w:ilvl w:val="0"/>
                <w:numId w:val="37"/>
              </w:numPr>
              <w:spacing w:after="0" w:line="240" w:lineRule="auto"/>
              <w:rPr>
                <w:rFonts w:ascii="Titillium" w:eastAsia="Titillium" w:hAnsi="Titillium" w:cs="Titillium"/>
                <w:szCs w:val="20"/>
              </w:rPr>
            </w:pPr>
            <w:r w:rsidRPr="636C4F36">
              <w:rPr>
                <w:rFonts w:ascii="Titillium" w:eastAsia="Titillium" w:hAnsi="Titillium" w:cs="Titillium"/>
                <w:szCs w:val="20"/>
              </w:rPr>
              <w:t xml:space="preserve">Cluster programme </w:t>
            </w:r>
          </w:p>
          <w:p w14:paraId="54D45105" w14:textId="77777777" w:rsidR="00423AF0" w:rsidRPr="00423AF0" w:rsidRDefault="00423AF0" w:rsidP="00D90AD3">
            <w:pPr>
              <w:numPr>
                <w:ilvl w:val="0"/>
                <w:numId w:val="37"/>
              </w:numPr>
              <w:spacing w:after="0" w:line="240" w:lineRule="auto"/>
              <w:rPr>
                <w:rFonts w:ascii="Titillium" w:eastAsia="Titillium" w:hAnsi="Titillium" w:cs="Titillium"/>
                <w:lang w:val="en-GB"/>
              </w:rPr>
            </w:pPr>
            <w:r w:rsidRPr="00423AF0">
              <w:rPr>
                <w:rFonts w:ascii="Titillium" w:eastAsia="Titillium" w:hAnsi="Titillium" w:cs="Titillium"/>
                <w:szCs w:val="20"/>
                <w:lang w:val="en-GB"/>
              </w:rPr>
              <w:t>Amount of investment attracted, funding raised, revenue generated</w:t>
            </w:r>
          </w:p>
          <w:p w14:paraId="70350980" w14:textId="77777777" w:rsidR="00423AF0" w:rsidRPr="00AA31C6" w:rsidRDefault="00423AF0" w:rsidP="00D90AD3">
            <w:pPr>
              <w:pStyle w:val="ListParagraph"/>
              <w:numPr>
                <w:ilvl w:val="0"/>
                <w:numId w:val="37"/>
              </w:numPr>
              <w:spacing w:after="0" w:line="240" w:lineRule="auto"/>
              <w:rPr>
                <w:rFonts w:ascii="Titillium" w:eastAsia="Titillium" w:hAnsi="Titillium" w:cs="Titillium"/>
              </w:rPr>
            </w:pPr>
            <w:proofErr w:type="spellStart"/>
            <w:r w:rsidRPr="636C4F36">
              <w:rPr>
                <w:rFonts w:ascii="Titillium" w:eastAsia="Titillium" w:hAnsi="Titillium" w:cs="Titillium"/>
                <w:szCs w:val="20"/>
              </w:rPr>
              <w:t>Means</w:t>
            </w:r>
            <w:proofErr w:type="spellEnd"/>
            <w:r w:rsidRPr="636C4F36">
              <w:rPr>
                <w:rFonts w:ascii="Titillium" w:eastAsia="Titillium" w:hAnsi="Titillium" w:cs="Titillium"/>
                <w:szCs w:val="20"/>
              </w:rPr>
              <w:t xml:space="preserve"> </w:t>
            </w:r>
            <w:proofErr w:type="spellStart"/>
            <w:r w:rsidRPr="636C4F36">
              <w:rPr>
                <w:rFonts w:ascii="Titillium" w:eastAsia="Titillium" w:hAnsi="Titillium" w:cs="Titillium"/>
                <w:szCs w:val="20"/>
              </w:rPr>
              <w:t>of</w:t>
            </w:r>
            <w:proofErr w:type="spellEnd"/>
            <w:r w:rsidRPr="636C4F36">
              <w:rPr>
                <w:rFonts w:ascii="Titillium" w:eastAsia="Titillium" w:hAnsi="Titillium" w:cs="Titillium"/>
                <w:szCs w:val="20"/>
              </w:rPr>
              <w:t xml:space="preserve"> support </w:t>
            </w:r>
            <w:proofErr w:type="spellStart"/>
            <w:r w:rsidRPr="636C4F36">
              <w:rPr>
                <w:rFonts w:ascii="Titillium" w:eastAsia="Titillium" w:hAnsi="Titillium" w:cs="Titillium"/>
                <w:szCs w:val="20"/>
              </w:rPr>
              <w:t>provided</w:t>
            </w:r>
            <w:proofErr w:type="spellEnd"/>
          </w:p>
        </w:tc>
      </w:tr>
    </w:tbl>
    <w:p w14:paraId="332C86A0" w14:textId="77777777" w:rsidR="00423AF0" w:rsidRDefault="00423AF0" w:rsidP="00423AF0">
      <w:pPr>
        <w:jc w:val="both"/>
        <w:rPr>
          <w:rFonts w:ascii="Titillium" w:eastAsia="Titillium" w:hAnsi="Titillium" w:cs="Titillium"/>
        </w:rPr>
      </w:pPr>
    </w:p>
    <w:tbl>
      <w:tblPr>
        <w:tblStyle w:val="TableGrid"/>
        <w:tblW w:w="0" w:type="auto"/>
        <w:tblLook w:val="04A0" w:firstRow="1" w:lastRow="0" w:firstColumn="1" w:lastColumn="0" w:noHBand="0" w:noVBand="1"/>
      </w:tblPr>
      <w:tblGrid>
        <w:gridCol w:w="1875"/>
        <w:gridCol w:w="3510"/>
        <w:gridCol w:w="3819"/>
      </w:tblGrid>
      <w:tr w:rsidR="00423AF0" w14:paraId="1CB46CFC" w14:textId="77777777" w:rsidTr="003379AC">
        <w:trPr>
          <w:trHeight w:val="300"/>
        </w:trPr>
        <w:tc>
          <w:tcPr>
            <w:tcW w:w="1885" w:type="dxa"/>
            <w:shd w:val="clear" w:color="auto" w:fill="002060"/>
          </w:tcPr>
          <w:p w14:paraId="4E358496" w14:textId="77777777" w:rsidR="00423AF0" w:rsidRDefault="00423AF0" w:rsidP="003379AC">
            <w:pPr>
              <w:rPr>
                <w:rFonts w:ascii="Titillium" w:eastAsia="Titillium" w:hAnsi="Titillium" w:cs="Titillium"/>
                <w:b/>
                <w:bCs/>
                <w:color w:val="FFFFFF" w:themeColor="background1"/>
              </w:rPr>
            </w:pPr>
            <w:r w:rsidRPr="636C4F36">
              <w:rPr>
                <w:rFonts w:ascii="Titillium" w:eastAsia="Titillium" w:hAnsi="Titillium" w:cs="Titillium"/>
                <w:b/>
                <w:bCs/>
                <w:color w:val="FFFFFF" w:themeColor="background1"/>
              </w:rPr>
              <w:lastRenderedPageBreak/>
              <w:t>EITECO04</w:t>
            </w:r>
          </w:p>
        </w:tc>
        <w:tc>
          <w:tcPr>
            <w:tcW w:w="7465" w:type="dxa"/>
            <w:gridSpan w:val="2"/>
            <w:shd w:val="clear" w:color="auto" w:fill="002060"/>
          </w:tcPr>
          <w:p w14:paraId="762C4DDF" w14:textId="77777777" w:rsidR="00423AF0" w:rsidRPr="00423AF0" w:rsidRDefault="00423AF0" w:rsidP="003379AC">
            <w:pP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Number of leads for revenue, funding facilitated by the ECO to contribute to the financial sustainability of the KICs</w:t>
            </w:r>
          </w:p>
        </w:tc>
      </w:tr>
      <w:tr w:rsidR="00423AF0" w14:paraId="75CEAEC5" w14:textId="77777777" w:rsidTr="003379AC">
        <w:trPr>
          <w:trHeight w:val="300"/>
        </w:trPr>
        <w:tc>
          <w:tcPr>
            <w:tcW w:w="5485" w:type="dxa"/>
            <w:gridSpan w:val="2"/>
            <w:vMerge w:val="restart"/>
          </w:tcPr>
          <w:p w14:paraId="50C5B485" w14:textId="77777777" w:rsidR="00423AF0" w:rsidRPr="00423AF0" w:rsidRDefault="00423AF0" w:rsidP="003379AC">
            <w:pPr>
              <w:jc w:val="both"/>
              <w:rPr>
                <w:rFonts w:ascii="Titillium" w:eastAsia="Titillium" w:hAnsi="Titillium" w:cs="Titillium"/>
                <w:b/>
                <w:bCs/>
                <w:lang w:val="en-GB"/>
              </w:rPr>
            </w:pPr>
            <w:r w:rsidRPr="00423AF0">
              <w:rPr>
                <w:rFonts w:ascii="Titillium" w:eastAsia="Titillium" w:hAnsi="Titillium" w:cs="Titillium"/>
                <w:b/>
                <w:bCs/>
                <w:lang w:val="en-GB"/>
              </w:rPr>
              <w:t xml:space="preserve">Definition: </w:t>
            </w:r>
          </w:p>
          <w:p w14:paraId="4BAB3C44" w14:textId="77777777" w:rsidR="00423AF0" w:rsidRPr="00423AF0" w:rsidRDefault="00423AF0" w:rsidP="003379AC">
            <w:pPr>
              <w:jc w:val="both"/>
              <w:rPr>
                <w:rFonts w:ascii="Titillium" w:eastAsia="Titillium" w:hAnsi="Titillium" w:cs="Titillium"/>
                <w:lang w:val="en-GB"/>
              </w:rPr>
            </w:pPr>
            <w:r w:rsidRPr="00423AF0">
              <w:rPr>
                <w:rFonts w:ascii="Titillium" w:eastAsia="Titillium" w:hAnsi="Titillium" w:cs="Titillium"/>
                <w:lang w:val="en-GB"/>
              </w:rPr>
              <w:t xml:space="preserve">EIT Community Officers are requested to support revenue generation and secure funding to contribute to the financial sustainability of the KICs by introducing leads for new membership fee paying entities (or potential shareholders to KICs), co-investment/revenues to KICs portfolio startups or selling KICs services locally. </w:t>
            </w:r>
          </w:p>
        </w:tc>
        <w:tc>
          <w:tcPr>
            <w:tcW w:w="3865" w:type="dxa"/>
          </w:tcPr>
          <w:p w14:paraId="0333D067" w14:textId="77777777" w:rsidR="00423AF0" w:rsidRDefault="00423AF0" w:rsidP="003379AC">
            <w:pPr>
              <w:rPr>
                <w:rFonts w:ascii="Titillium" w:eastAsia="Titillium" w:hAnsi="Titillium" w:cs="Titillium"/>
                <w:b/>
                <w:bCs/>
              </w:rPr>
            </w:pPr>
            <w:proofErr w:type="spellStart"/>
            <w:r w:rsidRPr="636C4F36">
              <w:rPr>
                <w:rFonts w:ascii="Titillium" w:eastAsia="Titillium" w:hAnsi="Titillium" w:cs="Titillium"/>
                <w:b/>
                <w:bCs/>
              </w:rPr>
              <w:t>Evidence</w:t>
            </w:r>
            <w:proofErr w:type="spellEnd"/>
            <w:r w:rsidRPr="636C4F36">
              <w:rPr>
                <w:rFonts w:ascii="Titillium" w:eastAsia="Titillium" w:hAnsi="Titillium" w:cs="Titillium"/>
                <w:b/>
                <w:bCs/>
              </w:rPr>
              <w:t>:</w:t>
            </w:r>
          </w:p>
        </w:tc>
      </w:tr>
      <w:tr w:rsidR="00423AF0" w14:paraId="5C498D67" w14:textId="77777777" w:rsidTr="003379AC">
        <w:trPr>
          <w:trHeight w:val="300"/>
        </w:trPr>
        <w:tc>
          <w:tcPr>
            <w:tcW w:w="5485" w:type="dxa"/>
            <w:gridSpan w:val="2"/>
            <w:vMerge/>
          </w:tcPr>
          <w:p w14:paraId="1513B3FB" w14:textId="77777777" w:rsidR="00423AF0" w:rsidRDefault="00423AF0" w:rsidP="003379AC"/>
        </w:tc>
        <w:tc>
          <w:tcPr>
            <w:tcW w:w="3865" w:type="dxa"/>
            <w:vAlign w:val="center"/>
          </w:tcPr>
          <w:p w14:paraId="2FEC6AB1" w14:textId="77777777" w:rsidR="00423AF0" w:rsidRPr="00423AF0" w:rsidRDefault="00423AF0" w:rsidP="003379AC">
            <w:pPr>
              <w:rPr>
                <w:rFonts w:ascii="Titillium" w:eastAsia="Titillium" w:hAnsi="Titillium" w:cs="Titillium"/>
                <w:szCs w:val="20"/>
                <w:lang w:val="en-GB"/>
              </w:rPr>
            </w:pPr>
            <w:r w:rsidRPr="00423AF0">
              <w:rPr>
                <w:rFonts w:ascii="Titillium" w:eastAsia="Titillium" w:hAnsi="Titillium" w:cs="Titillium"/>
                <w:szCs w:val="20"/>
                <w:lang w:val="en-GB"/>
              </w:rPr>
              <w:t>Strand 1. Warm introductory meetings with the participation of KIC or filling out dedicated form as per the Cluster assignment</w:t>
            </w:r>
          </w:p>
          <w:p w14:paraId="1BC5DF38" w14:textId="77777777" w:rsidR="00423AF0" w:rsidRPr="00423AF0" w:rsidRDefault="00423AF0" w:rsidP="003379AC">
            <w:pPr>
              <w:rPr>
                <w:rFonts w:ascii="Titillium" w:eastAsia="Titillium" w:hAnsi="Titillium" w:cs="Titillium"/>
                <w:szCs w:val="20"/>
                <w:lang w:val="en-GB"/>
              </w:rPr>
            </w:pPr>
            <w:r w:rsidRPr="00423AF0">
              <w:rPr>
                <w:rFonts w:ascii="Titillium" w:eastAsia="Titillium" w:hAnsi="Titillium" w:cs="Titillium"/>
                <w:szCs w:val="20"/>
                <w:lang w:val="en-GB"/>
              </w:rPr>
              <w:t>Strand 2. Signed declaration of the startup/scaleup supported by the ECO indicating the amount of investment or revenue attracted, and the support provided by the ECO, attaching any public information, term sheet or proof of the investment/revenue closed.</w:t>
            </w:r>
          </w:p>
          <w:p w14:paraId="111135CC" w14:textId="77777777" w:rsidR="00423AF0" w:rsidRPr="00423AF0" w:rsidRDefault="00423AF0" w:rsidP="003379AC">
            <w:pPr>
              <w:rPr>
                <w:rFonts w:ascii="Titillium" w:eastAsia="Titillium" w:hAnsi="Titillium" w:cs="Titillium"/>
                <w:szCs w:val="20"/>
                <w:lang w:val="en-GB"/>
              </w:rPr>
            </w:pPr>
            <w:r w:rsidRPr="00423AF0">
              <w:rPr>
                <w:rFonts w:ascii="Titillium" w:eastAsia="Titillium" w:hAnsi="Titillium" w:cs="Titillium"/>
                <w:szCs w:val="20"/>
                <w:lang w:val="en-GB"/>
              </w:rPr>
              <w:t>Strand 3. Invoice issued by the KIC for the service, or proof of service acceptance.</w:t>
            </w:r>
          </w:p>
        </w:tc>
      </w:tr>
      <w:tr w:rsidR="00423AF0" w14:paraId="36848EFC" w14:textId="77777777" w:rsidTr="003379AC">
        <w:trPr>
          <w:trHeight w:val="300"/>
        </w:trPr>
        <w:tc>
          <w:tcPr>
            <w:tcW w:w="5485" w:type="dxa"/>
            <w:gridSpan w:val="2"/>
            <w:vMerge/>
          </w:tcPr>
          <w:p w14:paraId="0CC28E66" w14:textId="77777777" w:rsidR="00423AF0" w:rsidRPr="00423AF0" w:rsidRDefault="00423AF0" w:rsidP="003379AC">
            <w:pPr>
              <w:rPr>
                <w:lang w:val="en-GB"/>
              </w:rPr>
            </w:pPr>
          </w:p>
        </w:tc>
        <w:tc>
          <w:tcPr>
            <w:tcW w:w="3865" w:type="dxa"/>
          </w:tcPr>
          <w:p w14:paraId="1EDD9AB3" w14:textId="77777777" w:rsidR="00423AF0" w:rsidRDefault="00423AF0" w:rsidP="003379AC">
            <w:pPr>
              <w:rPr>
                <w:rFonts w:ascii="Titillium" w:eastAsia="Titillium" w:hAnsi="Titillium" w:cs="Titillium"/>
                <w:b/>
                <w:bCs/>
              </w:rPr>
            </w:pPr>
            <w:r w:rsidRPr="636C4F36">
              <w:rPr>
                <w:rFonts w:ascii="Titillium" w:eastAsia="Titillium" w:hAnsi="Titillium" w:cs="Titillium"/>
                <w:b/>
                <w:bCs/>
              </w:rPr>
              <w:t xml:space="preserve">Structured </w:t>
            </w:r>
            <w:proofErr w:type="spellStart"/>
            <w:r w:rsidRPr="636C4F36">
              <w:rPr>
                <w:rFonts w:ascii="Titillium" w:eastAsia="Titillium" w:hAnsi="Titillium" w:cs="Titillium"/>
                <w:b/>
                <w:bCs/>
              </w:rPr>
              <w:t>data</w:t>
            </w:r>
            <w:proofErr w:type="spellEnd"/>
            <w:r w:rsidRPr="636C4F36">
              <w:rPr>
                <w:rFonts w:ascii="Titillium" w:eastAsia="Titillium" w:hAnsi="Titillium" w:cs="Titillium"/>
                <w:b/>
                <w:bCs/>
              </w:rPr>
              <w:t>:</w:t>
            </w:r>
          </w:p>
        </w:tc>
      </w:tr>
      <w:tr w:rsidR="00423AF0" w14:paraId="4401CB2E" w14:textId="77777777" w:rsidTr="003379AC">
        <w:trPr>
          <w:trHeight w:val="300"/>
        </w:trPr>
        <w:tc>
          <w:tcPr>
            <w:tcW w:w="5485" w:type="dxa"/>
            <w:gridSpan w:val="2"/>
            <w:vMerge/>
          </w:tcPr>
          <w:p w14:paraId="166E17BD" w14:textId="77777777" w:rsidR="00423AF0" w:rsidRDefault="00423AF0" w:rsidP="003379AC"/>
        </w:tc>
        <w:tc>
          <w:tcPr>
            <w:tcW w:w="3865" w:type="dxa"/>
          </w:tcPr>
          <w:p w14:paraId="18917E5C" w14:textId="77777777" w:rsidR="00423AF0" w:rsidRPr="00423AF0" w:rsidRDefault="00423AF0" w:rsidP="00D90AD3">
            <w:pPr>
              <w:numPr>
                <w:ilvl w:val="0"/>
                <w:numId w:val="37"/>
              </w:numPr>
              <w:spacing w:after="0" w:line="240" w:lineRule="auto"/>
              <w:rPr>
                <w:rFonts w:ascii="Titillium" w:eastAsia="Titillium" w:hAnsi="Titillium" w:cs="Titillium"/>
                <w:lang w:val="en-GB"/>
              </w:rPr>
            </w:pPr>
            <w:r w:rsidRPr="00423AF0">
              <w:rPr>
                <w:rFonts w:ascii="Titillium" w:eastAsia="Titillium" w:hAnsi="Titillium" w:cs="Titillium"/>
                <w:szCs w:val="20"/>
                <w:lang w:val="en-GB"/>
              </w:rPr>
              <w:t>Representative and organisation of the lead</w:t>
            </w:r>
          </w:p>
          <w:p w14:paraId="20A95AF4" w14:textId="77777777" w:rsidR="00423AF0" w:rsidRDefault="00423AF0" w:rsidP="00D90AD3">
            <w:pPr>
              <w:pStyle w:val="ListParagraph"/>
              <w:numPr>
                <w:ilvl w:val="0"/>
                <w:numId w:val="37"/>
              </w:numPr>
              <w:spacing w:after="0" w:line="240" w:lineRule="auto"/>
              <w:rPr>
                <w:rFonts w:ascii="Titillium" w:eastAsia="Titillium" w:hAnsi="Titillium" w:cs="Titillium"/>
                <w:szCs w:val="20"/>
              </w:rPr>
            </w:pPr>
            <w:r w:rsidRPr="636C4F36">
              <w:rPr>
                <w:rFonts w:ascii="Titillium" w:eastAsia="Titillium" w:hAnsi="Titillium" w:cs="Titillium"/>
                <w:szCs w:val="20"/>
              </w:rPr>
              <w:t xml:space="preserve">KIC </w:t>
            </w:r>
          </w:p>
          <w:p w14:paraId="1C12F9B7" w14:textId="77777777" w:rsidR="00423AF0" w:rsidRPr="00423AF0" w:rsidRDefault="00423AF0" w:rsidP="00D90AD3">
            <w:pPr>
              <w:pStyle w:val="ListParagraph"/>
              <w:numPr>
                <w:ilvl w:val="0"/>
                <w:numId w:val="37"/>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Amount of investment/revenue attracted, funding raised, revenue generated</w:t>
            </w:r>
          </w:p>
          <w:p w14:paraId="1F02A85D" w14:textId="77777777" w:rsidR="00423AF0" w:rsidRPr="00423AF0" w:rsidRDefault="00423AF0" w:rsidP="003379AC">
            <w:pPr>
              <w:pStyle w:val="ListParagraph"/>
              <w:rPr>
                <w:rFonts w:ascii="Titillium" w:eastAsia="Titillium" w:hAnsi="Titillium" w:cs="Titillium"/>
                <w:szCs w:val="20"/>
                <w:lang w:val="en-GB"/>
              </w:rPr>
            </w:pPr>
          </w:p>
        </w:tc>
      </w:tr>
    </w:tbl>
    <w:p w14:paraId="13DC83EC" w14:textId="77777777" w:rsidR="00423AF0" w:rsidRDefault="00423AF0" w:rsidP="00423AF0">
      <w:pPr>
        <w:jc w:val="both"/>
        <w:rPr>
          <w:rFonts w:ascii="Titillium" w:eastAsia="Titillium" w:hAnsi="Titillium" w:cs="Titillium"/>
        </w:rPr>
      </w:pPr>
    </w:p>
    <w:tbl>
      <w:tblPr>
        <w:tblStyle w:val="TableGrid"/>
        <w:tblW w:w="0" w:type="auto"/>
        <w:tblLook w:val="04A0" w:firstRow="1" w:lastRow="0" w:firstColumn="1" w:lastColumn="0" w:noHBand="0" w:noVBand="1"/>
      </w:tblPr>
      <w:tblGrid>
        <w:gridCol w:w="1868"/>
        <w:gridCol w:w="3519"/>
        <w:gridCol w:w="3817"/>
      </w:tblGrid>
      <w:tr w:rsidR="00423AF0" w14:paraId="2B1F7897" w14:textId="77777777" w:rsidTr="003379AC">
        <w:trPr>
          <w:trHeight w:val="300"/>
        </w:trPr>
        <w:tc>
          <w:tcPr>
            <w:tcW w:w="1885" w:type="dxa"/>
            <w:shd w:val="clear" w:color="auto" w:fill="002060"/>
          </w:tcPr>
          <w:p w14:paraId="0DBDB0E8" w14:textId="77777777" w:rsidR="00423AF0" w:rsidRDefault="00423AF0" w:rsidP="003379AC">
            <w:pPr>
              <w:rPr>
                <w:rFonts w:ascii="Titillium" w:eastAsia="Titillium" w:hAnsi="Titillium" w:cs="Titillium"/>
                <w:b/>
                <w:bCs/>
                <w:color w:val="FFFFFF" w:themeColor="background1"/>
              </w:rPr>
            </w:pPr>
            <w:r w:rsidRPr="636C4F36">
              <w:rPr>
                <w:rFonts w:ascii="Titillium" w:eastAsia="Titillium" w:hAnsi="Titillium" w:cs="Titillium"/>
                <w:b/>
                <w:bCs/>
                <w:color w:val="FFFFFF" w:themeColor="background1"/>
              </w:rPr>
              <w:t>EITECO05</w:t>
            </w:r>
          </w:p>
        </w:tc>
        <w:tc>
          <w:tcPr>
            <w:tcW w:w="7465" w:type="dxa"/>
            <w:gridSpan w:val="2"/>
            <w:shd w:val="clear" w:color="auto" w:fill="002060"/>
          </w:tcPr>
          <w:p w14:paraId="4138624A" w14:textId="77777777" w:rsidR="00423AF0" w:rsidRPr="00423AF0" w:rsidRDefault="00423AF0" w:rsidP="003379AC">
            <w:pP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External funding raised for additional EIT Community Hub activity</w:t>
            </w:r>
          </w:p>
        </w:tc>
      </w:tr>
      <w:tr w:rsidR="00423AF0" w14:paraId="2A698F23" w14:textId="77777777" w:rsidTr="003379AC">
        <w:trPr>
          <w:trHeight w:val="300"/>
        </w:trPr>
        <w:tc>
          <w:tcPr>
            <w:tcW w:w="5485" w:type="dxa"/>
            <w:gridSpan w:val="2"/>
            <w:vMerge w:val="restart"/>
          </w:tcPr>
          <w:p w14:paraId="71620C2C" w14:textId="77777777" w:rsidR="00423AF0" w:rsidRPr="00423AF0" w:rsidRDefault="00423AF0" w:rsidP="003379AC">
            <w:pPr>
              <w:jc w:val="both"/>
              <w:rPr>
                <w:rFonts w:ascii="Titillium" w:eastAsia="Titillium" w:hAnsi="Titillium" w:cs="Titillium"/>
                <w:b/>
                <w:bCs/>
                <w:lang w:val="en-GB"/>
              </w:rPr>
            </w:pPr>
            <w:r w:rsidRPr="00423AF0">
              <w:rPr>
                <w:rFonts w:ascii="Titillium" w:eastAsia="Titillium" w:hAnsi="Titillium" w:cs="Titillium"/>
                <w:b/>
                <w:bCs/>
                <w:lang w:val="en-GB"/>
              </w:rPr>
              <w:t xml:space="preserve">Definition: </w:t>
            </w:r>
          </w:p>
          <w:p w14:paraId="5979F396" w14:textId="77777777" w:rsidR="00423AF0" w:rsidRPr="00423AF0" w:rsidRDefault="00423AF0" w:rsidP="003379AC">
            <w:pPr>
              <w:jc w:val="both"/>
              <w:rPr>
                <w:rFonts w:ascii="Titillium" w:eastAsia="Titillium" w:hAnsi="Titillium" w:cs="Titillium"/>
                <w:lang w:val="en-GB"/>
              </w:rPr>
            </w:pPr>
            <w:r w:rsidRPr="00423AF0">
              <w:rPr>
                <w:rFonts w:ascii="Titillium" w:eastAsia="Titillium" w:hAnsi="Titillium" w:cs="Titillium"/>
                <w:lang w:val="en-GB"/>
              </w:rPr>
              <w:t xml:space="preserve">EIT Community Officers are requested to raise external funding for additional EIT Community Hub activities (including its Members signatories of the governance MoU) via submitting proposals and implement projects  through other (non-EIT) EU / national / regional funds. These projects shall (1) involve local authorities and institutions to strengthen synergies with EIT/EIT KICs or (2) target local talents which could be supported via the EIT Community opportunities or (3) support general EIT Community actions or (4) joint activities amongst the KICs to </w:t>
            </w:r>
            <w:r w:rsidRPr="00423AF0">
              <w:rPr>
                <w:rFonts w:ascii="Titillium" w:eastAsia="Titillium" w:hAnsi="Titillium" w:cs="Titillium"/>
                <w:lang w:val="en-GB"/>
              </w:rPr>
              <w:lastRenderedPageBreak/>
              <w:t>implement locally. These projects preferably shall align with local RIS3 priorities. The scope of the project should be defined by the EIT Community Hub based on the ecosystem needs and the competence of the EIT Community Officer.</w:t>
            </w:r>
          </w:p>
          <w:p w14:paraId="3682A838" w14:textId="77777777" w:rsidR="00423AF0" w:rsidRPr="00423AF0" w:rsidRDefault="00423AF0" w:rsidP="003379AC">
            <w:pPr>
              <w:jc w:val="both"/>
              <w:rPr>
                <w:rFonts w:ascii="Titillium" w:eastAsia="Titillium" w:hAnsi="Titillium" w:cs="Titillium"/>
                <w:lang w:val="en-GB"/>
              </w:rPr>
            </w:pPr>
          </w:p>
          <w:p w14:paraId="4D7C474E" w14:textId="77777777" w:rsidR="00423AF0" w:rsidRPr="00423AF0" w:rsidRDefault="00423AF0" w:rsidP="003379AC">
            <w:pPr>
              <w:jc w:val="both"/>
              <w:rPr>
                <w:rFonts w:ascii="Titillium" w:eastAsia="Titillium" w:hAnsi="Titillium" w:cs="Titillium"/>
                <w:lang w:val="en-GB"/>
              </w:rPr>
            </w:pPr>
          </w:p>
        </w:tc>
        <w:tc>
          <w:tcPr>
            <w:tcW w:w="3865" w:type="dxa"/>
          </w:tcPr>
          <w:p w14:paraId="33C868CF" w14:textId="77777777" w:rsidR="00423AF0" w:rsidRDefault="00423AF0" w:rsidP="003379AC">
            <w:pPr>
              <w:rPr>
                <w:rFonts w:ascii="Titillium" w:eastAsia="Titillium" w:hAnsi="Titillium" w:cs="Titillium"/>
                <w:b/>
                <w:bCs/>
              </w:rPr>
            </w:pPr>
            <w:proofErr w:type="spellStart"/>
            <w:r w:rsidRPr="636C4F36">
              <w:rPr>
                <w:rFonts w:ascii="Titillium" w:eastAsia="Titillium" w:hAnsi="Titillium" w:cs="Titillium"/>
                <w:b/>
                <w:bCs/>
              </w:rPr>
              <w:lastRenderedPageBreak/>
              <w:t>Evidence</w:t>
            </w:r>
            <w:proofErr w:type="spellEnd"/>
            <w:r w:rsidRPr="636C4F36">
              <w:rPr>
                <w:rFonts w:ascii="Titillium" w:eastAsia="Titillium" w:hAnsi="Titillium" w:cs="Titillium"/>
                <w:b/>
                <w:bCs/>
              </w:rPr>
              <w:t>:</w:t>
            </w:r>
          </w:p>
        </w:tc>
      </w:tr>
      <w:tr w:rsidR="00423AF0" w14:paraId="3DE35E1D" w14:textId="77777777" w:rsidTr="003379AC">
        <w:trPr>
          <w:trHeight w:val="300"/>
        </w:trPr>
        <w:tc>
          <w:tcPr>
            <w:tcW w:w="5485" w:type="dxa"/>
            <w:gridSpan w:val="2"/>
            <w:vMerge/>
          </w:tcPr>
          <w:p w14:paraId="2EA50590" w14:textId="77777777" w:rsidR="00423AF0" w:rsidRDefault="00423AF0" w:rsidP="003379AC"/>
        </w:tc>
        <w:tc>
          <w:tcPr>
            <w:tcW w:w="3865" w:type="dxa"/>
            <w:vAlign w:val="center"/>
          </w:tcPr>
          <w:p w14:paraId="0BD3229B" w14:textId="77777777" w:rsidR="00423AF0" w:rsidRPr="00423AF0" w:rsidRDefault="00423AF0" w:rsidP="003379AC">
            <w:pPr>
              <w:rPr>
                <w:rFonts w:ascii="Titillium" w:eastAsia="Titillium" w:hAnsi="Titillium" w:cs="Titillium"/>
                <w:szCs w:val="20"/>
                <w:lang w:val="en-GB"/>
              </w:rPr>
            </w:pPr>
            <w:r w:rsidRPr="00423AF0">
              <w:rPr>
                <w:rFonts w:ascii="Titillium" w:eastAsia="Titillium" w:hAnsi="Titillium" w:cs="Titillium"/>
                <w:szCs w:val="20"/>
                <w:lang w:val="en-GB"/>
              </w:rPr>
              <w:t xml:space="preserve">Copy of the funding (grant, sponsorship, etc.) agreement, including project/activity description to the secured funding with the description of the activities clearly in line with the EIT core KPIs </w:t>
            </w:r>
          </w:p>
        </w:tc>
      </w:tr>
      <w:tr w:rsidR="00423AF0" w14:paraId="093306F4" w14:textId="77777777" w:rsidTr="003379AC">
        <w:trPr>
          <w:trHeight w:val="300"/>
        </w:trPr>
        <w:tc>
          <w:tcPr>
            <w:tcW w:w="5485" w:type="dxa"/>
            <w:gridSpan w:val="2"/>
            <w:vMerge/>
          </w:tcPr>
          <w:p w14:paraId="569E5527" w14:textId="77777777" w:rsidR="00423AF0" w:rsidRPr="00423AF0" w:rsidRDefault="00423AF0" w:rsidP="003379AC">
            <w:pPr>
              <w:rPr>
                <w:lang w:val="en-GB"/>
              </w:rPr>
            </w:pPr>
          </w:p>
        </w:tc>
        <w:tc>
          <w:tcPr>
            <w:tcW w:w="3865" w:type="dxa"/>
          </w:tcPr>
          <w:p w14:paraId="1335921C" w14:textId="77777777" w:rsidR="00423AF0" w:rsidRDefault="00423AF0" w:rsidP="003379AC">
            <w:pPr>
              <w:rPr>
                <w:rFonts w:ascii="Titillium" w:eastAsia="Titillium" w:hAnsi="Titillium" w:cs="Titillium"/>
                <w:b/>
                <w:bCs/>
              </w:rPr>
            </w:pPr>
            <w:r w:rsidRPr="636C4F36">
              <w:rPr>
                <w:rFonts w:ascii="Titillium" w:eastAsia="Titillium" w:hAnsi="Titillium" w:cs="Titillium"/>
                <w:b/>
                <w:bCs/>
              </w:rPr>
              <w:t xml:space="preserve">Structured </w:t>
            </w:r>
            <w:proofErr w:type="spellStart"/>
            <w:r w:rsidRPr="636C4F36">
              <w:rPr>
                <w:rFonts w:ascii="Titillium" w:eastAsia="Titillium" w:hAnsi="Titillium" w:cs="Titillium"/>
                <w:b/>
                <w:bCs/>
              </w:rPr>
              <w:t>data</w:t>
            </w:r>
            <w:proofErr w:type="spellEnd"/>
            <w:r w:rsidRPr="636C4F36">
              <w:rPr>
                <w:rFonts w:ascii="Titillium" w:eastAsia="Titillium" w:hAnsi="Titillium" w:cs="Titillium"/>
                <w:b/>
                <w:bCs/>
              </w:rPr>
              <w:t>:</w:t>
            </w:r>
          </w:p>
        </w:tc>
      </w:tr>
      <w:tr w:rsidR="00423AF0" w14:paraId="78EF50BB" w14:textId="77777777" w:rsidTr="003379AC">
        <w:trPr>
          <w:trHeight w:val="300"/>
        </w:trPr>
        <w:tc>
          <w:tcPr>
            <w:tcW w:w="5485" w:type="dxa"/>
            <w:gridSpan w:val="2"/>
            <w:vMerge/>
          </w:tcPr>
          <w:p w14:paraId="059E7CC3" w14:textId="77777777" w:rsidR="00423AF0" w:rsidRDefault="00423AF0" w:rsidP="003379AC"/>
        </w:tc>
        <w:tc>
          <w:tcPr>
            <w:tcW w:w="3865" w:type="dxa"/>
          </w:tcPr>
          <w:p w14:paraId="2C24E835" w14:textId="77777777" w:rsidR="00423AF0" w:rsidRDefault="00423AF0" w:rsidP="00D90AD3">
            <w:pPr>
              <w:pStyle w:val="ListParagraph"/>
              <w:numPr>
                <w:ilvl w:val="0"/>
                <w:numId w:val="37"/>
              </w:numPr>
              <w:spacing w:after="0" w:line="240" w:lineRule="auto"/>
              <w:rPr>
                <w:rFonts w:ascii="Titillium" w:eastAsia="Titillium" w:hAnsi="Titillium" w:cs="Titillium"/>
                <w:szCs w:val="20"/>
              </w:rPr>
            </w:pPr>
            <w:proofErr w:type="spellStart"/>
            <w:r w:rsidRPr="636C4F36">
              <w:rPr>
                <w:rFonts w:ascii="Titillium" w:eastAsia="Titillium" w:hAnsi="Titillium" w:cs="Titillium"/>
                <w:szCs w:val="20"/>
              </w:rPr>
              <w:t>Amount</w:t>
            </w:r>
            <w:proofErr w:type="spellEnd"/>
            <w:r w:rsidRPr="636C4F36">
              <w:rPr>
                <w:rFonts w:ascii="Titillium" w:eastAsia="Titillium" w:hAnsi="Titillium" w:cs="Titillium"/>
                <w:szCs w:val="20"/>
              </w:rPr>
              <w:t xml:space="preserve"> </w:t>
            </w:r>
            <w:proofErr w:type="spellStart"/>
            <w:r w:rsidRPr="636C4F36">
              <w:rPr>
                <w:rFonts w:ascii="Titillium" w:eastAsia="Titillium" w:hAnsi="Titillium" w:cs="Titillium"/>
                <w:szCs w:val="20"/>
              </w:rPr>
              <w:t>of</w:t>
            </w:r>
            <w:proofErr w:type="spellEnd"/>
            <w:r w:rsidRPr="636C4F36">
              <w:rPr>
                <w:rFonts w:ascii="Titillium" w:eastAsia="Titillium" w:hAnsi="Titillium" w:cs="Titillium"/>
                <w:szCs w:val="20"/>
              </w:rPr>
              <w:t xml:space="preserve"> </w:t>
            </w:r>
            <w:proofErr w:type="spellStart"/>
            <w:r w:rsidRPr="636C4F36">
              <w:rPr>
                <w:rFonts w:ascii="Titillium" w:eastAsia="Titillium" w:hAnsi="Titillium" w:cs="Titillium"/>
                <w:szCs w:val="20"/>
              </w:rPr>
              <w:t>funding</w:t>
            </w:r>
            <w:proofErr w:type="spellEnd"/>
            <w:r w:rsidRPr="636C4F36">
              <w:rPr>
                <w:rFonts w:ascii="Titillium" w:eastAsia="Titillium" w:hAnsi="Titillium" w:cs="Titillium"/>
                <w:szCs w:val="20"/>
              </w:rPr>
              <w:t xml:space="preserve"> </w:t>
            </w:r>
            <w:proofErr w:type="spellStart"/>
            <w:r w:rsidRPr="636C4F36">
              <w:rPr>
                <w:rFonts w:ascii="Titillium" w:eastAsia="Titillium" w:hAnsi="Titillium" w:cs="Titillium"/>
                <w:szCs w:val="20"/>
              </w:rPr>
              <w:t>raised</w:t>
            </w:r>
            <w:proofErr w:type="spellEnd"/>
          </w:p>
          <w:p w14:paraId="1EED08E8" w14:textId="77777777" w:rsidR="00423AF0" w:rsidRDefault="00423AF0" w:rsidP="00D90AD3">
            <w:pPr>
              <w:pStyle w:val="ListParagraph"/>
              <w:numPr>
                <w:ilvl w:val="0"/>
                <w:numId w:val="37"/>
              </w:numPr>
              <w:spacing w:after="0" w:line="240" w:lineRule="auto"/>
              <w:rPr>
                <w:rFonts w:ascii="Titillium" w:eastAsia="Titillium" w:hAnsi="Titillium" w:cs="Titillium"/>
                <w:szCs w:val="20"/>
              </w:rPr>
            </w:pPr>
            <w:r w:rsidRPr="636C4F36">
              <w:rPr>
                <w:rFonts w:ascii="Titillium" w:eastAsia="Titillium" w:hAnsi="Titillium" w:cs="Titillium"/>
                <w:szCs w:val="20"/>
              </w:rPr>
              <w:lastRenderedPageBreak/>
              <w:t>Funding organisation</w:t>
            </w:r>
          </w:p>
          <w:p w14:paraId="067B62FC" w14:textId="77777777" w:rsidR="00423AF0" w:rsidRPr="00423AF0" w:rsidRDefault="00423AF0" w:rsidP="00D90AD3">
            <w:pPr>
              <w:pStyle w:val="ListParagraph"/>
              <w:numPr>
                <w:ilvl w:val="0"/>
                <w:numId w:val="37"/>
              </w:numPr>
              <w:spacing w:after="0" w:line="240" w:lineRule="auto"/>
              <w:rPr>
                <w:rFonts w:ascii="Titillium" w:eastAsia="Titillium" w:hAnsi="Titillium" w:cs="Titillium"/>
                <w:szCs w:val="20"/>
                <w:lang w:val="en-GB"/>
              </w:rPr>
            </w:pPr>
            <w:r w:rsidRPr="00423AF0">
              <w:rPr>
                <w:rFonts w:ascii="Titillium" w:eastAsia="Titillium" w:hAnsi="Titillium" w:cs="Titillium"/>
                <w:szCs w:val="20"/>
                <w:lang w:val="en-GB"/>
              </w:rPr>
              <w:t>EIT CH members involved, if any (at least 1 except white spot countries)</w:t>
            </w:r>
          </w:p>
          <w:p w14:paraId="46910196" w14:textId="77777777" w:rsidR="00423AF0" w:rsidRDefault="00423AF0" w:rsidP="00D90AD3">
            <w:pPr>
              <w:pStyle w:val="ListParagraph"/>
              <w:numPr>
                <w:ilvl w:val="0"/>
                <w:numId w:val="37"/>
              </w:numPr>
              <w:spacing w:after="0" w:line="240" w:lineRule="auto"/>
              <w:rPr>
                <w:rFonts w:ascii="Titillium" w:eastAsia="Titillium" w:hAnsi="Titillium" w:cs="Titillium"/>
                <w:szCs w:val="20"/>
              </w:rPr>
            </w:pPr>
            <w:r w:rsidRPr="636C4F36">
              <w:rPr>
                <w:rFonts w:ascii="Titillium" w:eastAsia="Titillium" w:hAnsi="Titillium" w:cs="Titillium"/>
                <w:szCs w:val="20"/>
              </w:rPr>
              <w:t xml:space="preserve">Type </w:t>
            </w:r>
            <w:proofErr w:type="spellStart"/>
            <w:r w:rsidRPr="636C4F36">
              <w:rPr>
                <w:rFonts w:ascii="Titillium" w:eastAsia="Titillium" w:hAnsi="Titillium" w:cs="Titillium"/>
                <w:szCs w:val="20"/>
              </w:rPr>
              <w:t>of</w:t>
            </w:r>
            <w:proofErr w:type="spellEnd"/>
            <w:r w:rsidRPr="636C4F36">
              <w:rPr>
                <w:rFonts w:ascii="Titillium" w:eastAsia="Titillium" w:hAnsi="Titillium" w:cs="Titillium"/>
                <w:szCs w:val="20"/>
              </w:rPr>
              <w:t xml:space="preserve"> </w:t>
            </w:r>
            <w:proofErr w:type="spellStart"/>
            <w:r w:rsidRPr="636C4F36">
              <w:rPr>
                <w:rFonts w:ascii="Titillium" w:eastAsia="Titillium" w:hAnsi="Titillium" w:cs="Titillium"/>
                <w:szCs w:val="20"/>
              </w:rPr>
              <w:t>funding</w:t>
            </w:r>
            <w:proofErr w:type="spellEnd"/>
          </w:p>
          <w:p w14:paraId="43F6BF7E" w14:textId="77777777" w:rsidR="00423AF0" w:rsidRPr="00423AF0" w:rsidRDefault="00423AF0" w:rsidP="00D90AD3">
            <w:pPr>
              <w:pStyle w:val="ListParagraph"/>
              <w:numPr>
                <w:ilvl w:val="0"/>
                <w:numId w:val="37"/>
              </w:numPr>
              <w:spacing w:after="0" w:line="240" w:lineRule="auto"/>
              <w:rPr>
                <w:rFonts w:ascii="Titillium" w:eastAsia="Titillium" w:hAnsi="Titillium" w:cs="Titillium"/>
                <w:lang w:val="en-GB"/>
              </w:rPr>
            </w:pPr>
            <w:r w:rsidRPr="00423AF0">
              <w:rPr>
                <w:rFonts w:ascii="Titillium" w:eastAsia="Titillium" w:hAnsi="Titillium" w:cs="Titillium"/>
                <w:szCs w:val="20"/>
                <w:lang w:val="en-GB"/>
              </w:rPr>
              <w:t>EIT relevance of the project/activity</w:t>
            </w:r>
          </w:p>
          <w:p w14:paraId="6C1D231B" w14:textId="77777777" w:rsidR="00423AF0" w:rsidRDefault="00423AF0" w:rsidP="00D90AD3">
            <w:pPr>
              <w:pStyle w:val="ListParagraph"/>
              <w:numPr>
                <w:ilvl w:val="0"/>
                <w:numId w:val="37"/>
              </w:numPr>
              <w:spacing w:after="0" w:line="240" w:lineRule="auto"/>
              <w:rPr>
                <w:rFonts w:ascii="Titillium" w:eastAsia="Titillium" w:hAnsi="Titillium" w:cs="Titillium"/>
              </w:rPr>
            </w:pPr>
            <w:proofErr w:type="spellStart"/>
            <w:r w:rsidRPr="636C4F36">
              <w:rPr>
                <w:rFonts w:ascii="Titillium" w:eastAsia="Titillium" w:hAnsi="Titillium" w:cs="Titillium"/>
                <w:szCs w:val="20"/>
              </w:rPr>
              <w:t>Activity</w:t>
            </w:r>
            <w:proofErr w:type="spellEnd"/>
            <w:r w:rsidRPr="636C4F36">
              <w:rPr>
                <w:rFonts w:ascii="Titillium" w:eastAsia="Titillium" w:hAnsi="Titillium" w:cs="Titillium"/>
                <w:szCs w:val="20"/>
              </w:rPr>
              <w:t>(</w:t>
            </w:r>
            <w:proofErr w:type="spellStart"/>
            <w:r w:rsidRPr="636C4F36">
              <w:rPr>
                <w:rFonts w:ascii="Titillium" w:eastAsia="Titillium" w:hAnsi="Titillium" w:cs="Titillium"/>
                <w:szCs w:val="20"/>
              </w:rPr>
              <w:t>ies</w:t>
            </w:r>
            <w:proofErr w:type="spellEnd"/>
            <w:r w:rsidRPr="636C4F36">
              <w:rPr>
                <w:rFonts w:ascii="Titillium" w:eastAsia="Titillium" w:hAnsi="Titillium" w:cs="Titillium"/>
                <w:szCs w:val="20"/>
              </w:rPr>
              <w:t xml:space="preserve">) </w:t>
            </w:r>
            <w:proofErr w:type="spellStart"/>
            <w:r w:rsidRPr="636C4F36">
              <w:rPr>
                <w:rFonts w:ascii="Titillium" w:eastAsia="Titillium" w:hAnsi="Titillium" w:cs="Titillium"/>
                <w:szCs w:val="20"/>
              </w:rPr>
              <w:t>funded</w:t>
            </w:r>
            <w:proofErr w:type="spellEnd"/>
          </w:p>
          <w:p w14:paraId="34D8B6F3" w14:textId="77777777" w:rsidR="00423AF0" w:rsidRDefault="00423AF0" w:rsidP="003379AC">
            <w:pPr>
              <w:pStyle w:val="ListParagraph"/>
              <w:rPr>
                <w:rFonts w:ascii="Titillium" w:eastAsia="Titillium" w:hAnsi="Titillium" w:cs="Titillium"/>
                <w:szCs w:val="20"/>
              </w:rPr>
            </w:pPr>
          </w:p>
        </w:tc>
      </w:tr>
    </w:tbl>
    <w:p w14:paraId="0FF90894" w14:textId="77777777" w:rsidR="00423AF0" w:rsidRDefault="00423AF0" w:rsidP="00423AF0">
      <w:pPr>
        <w:pStyle w:val="Heading2"/>
        <w:jc w:val="both"/>
        <w:rPr>
          <w:rFonts w:ascii="Titillium" w:eastAsia="Titillium" w:hAnsi="Titillium" w:cs="Titillium"/>
        </w:rPr>
      </w:pPr>
    </w:p>
    <w:p w14:paraId="5FCAC5F1" w14:textId="77777777" w:rsidR="00423AF0" w:rsidRPr="00D90AD3" w:rsidRDefault="00423AF0" w:rsidP="7295751F">
      <w:pPr>
        <w:jc w:val="both"/>
        <w:rPr>
          <w:rFonts w:asciiTheme="minorHAnsi" w:hAnsiTheme="minorHAnsi"/>
          <w:b/>
          <w:bCs/>
          <w:sz w:val="24"/>
          <w:szCs w:val="24"/>
          <w:lang w:val="en-US"/>
        </w:rPr>
      </w:pPr>
      <w:bookmarkStart w:id="76" w:name="_Toc1253921483"/>
      <w:bookmarkStart w:id="77" w:name="_Toc205312697"/>
      <w:r w:rsidRPr="7295751F">
        <w:rPr>
          <w:rFonts w:asciiTheme="minorHAnsi" w:hAnsiTheme="minorHAnsi"/>
          <w:b/>
          <w:bCs/>
          <w:sz w:val="24"/>
          <w:szCs w:val="24"/>
          <w:lang w:val="en-US"/>
        </w:rPr>
        <w:t>3.2. Responsibility areas of EIT Community Officers</w:t>
      </w:r>
      <w:bookmarkEnd w:id="76"/>
      <w:bookmarkEnd w:id="77"/>
    </w:p>
    <w:p w14:paraId="0118A6E4"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rPr>
        <w:t xml:space="preserve">The responsibility areas of the EIT Community Officers depend on the EIT KICs representation in the country. </w:t>
      </w:r>
    </w:p>
    <w:p w14:paraId="29C7215E"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rPr>
        <w:t xml:space="preserve">There are countries where the EIT KICs on the ground representation can be very broad, and there are different stakeholders representing the knowledge triangle of the KICs, EIT local KIC representatives (former RIS Hubs) and Co-Location </w:t>
      </w:r>
      <w:proofErr w:type="spellStart"/>
      <w:r w:rsidRPr="636C4F36">
        <w:rPr>
          <w:rFonts w:ascii="Titillium" w:eastAsia="Titillium" w:hAnsi="Titillium" w:cs="Titillium"/>
        </w:rPr>
        <w:t>Centers</w:t>
      </w:r>
      <w:proofErr w:type="spellEnd"/>
      <w:r w:rsidRPr="636C4F36">
        <w:rPr>
          <w:rFonts w:ascii="Titillium" w:eastAsia="Titillium" w:hAnsi="Titillium" w:cs="Titillium"/>
        </w:rPr>
        <w:t>, thematic experts established. In these countries and territories (</w:t>
      </w:r>
      <w:r w:rsidRPr="636C4F36">
        <w:rPr>
          <w:rFonts w:ascii="Titillium" w:eastAsia="Titillium" w:hAnsi="Titillium" w:cs="Titillium"/>
          <w:b/>
          <w:bCs/>
        </w:rPr>
        <w:t>“well established countries”</w:t>
      </w:r>
      <w:r w:rsidRPr="636C4F36">
        <w:rPr>
          <w:rFonts w:ascii="Titillium" w:eastAsia="Titillium" w:hAnsi="Titillium" w:cs="Titillium"/>
        </w:rPr>
        <w:t xml:space="preserve">), the EIT Community is well populated, there is potential for cross-KIC activities but less for individual-KIC support, and the EIT Community Officer has a more coordinative role, avoiding overlap with existing KIC experts (the “EIT Community Hub members”). </w:t>
      </w:r>
    </w:p>
    <w:p w14:paraId="5757D0E4"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rPr>
        <w:t>There is another set of countries and territories where there is no or little on-the-ground EIT KIC representation; however, stakeholders relevant to the EIT Community are ready to be engaged and actively take part in EIT activities and the building of the local ecosystem and integrate the knowledge triangle. These countries known as “</w:t>
      </w:r>
      <w:r w:rsidRPr="636C4F36">
        <w:rPr>
          <w:rFonts w:ascii="Titillium" w:eastAsia="Titillium" w:hAnsi="Titillium" w:cs="Titillium"/>
          <w:b/>
          <w:bCs/>
        </w:rPr>
        <w:t>white-spot</w:t>
      </w:r>
      <w:r w:rsidRPr="636C4F36">
        <w:rPr>
          <w:rFonts w:ascii="Titillium" w:eastAsia="Titillium" w:hAnsi="Titillium" w:cs="Titillium"/>
        </w:rPr>
        <w:t xml:space="preserve">” countries with no significant KIC presence. In white-spot countries, the EIT Community Officer will have a deeper representative role. </w:t>
      </w:r>
    </w:p>
    <w:p w14:paraId="5EF59394" w14:textId="77777777" w:rsidR="00423AF0" w:rsidRDefault="00423AF0" w:rsidP="00423AF0">
      <w:pPr>
        <w:spacing w:before="120"/>
        <w:jc w:val="both"/>
        <w:rPr>
          <w:rFonts w:ascii="Titillium" w:eastAsia="Titillium" w:hAnsi="Titillium" w:cs="Titillium"/>
        </w:rPr>
      </w:pPr>
      <w:r w:rsidRPr="1F95E526">
        <w:rPr>
          <w:rFonts w:ascii="Titillium" w:eastAsia="Titillium" w:hAnsi="Titillium" w:cs="Titillium"/>
        </w:rPr>
        <w:t>These major roles are important to distinguish because both the KPI targets expectation and how to monitor activities will differ in “established” and “white-spot” countries. The tables below set the targets to be achieved on an annual basis by the ECO depending if it operates in a white-spot or a well-established country. For clarity, the countries</w:t>
      </w:r>
      <w:r w:rsidRPr="1F95E526">
        <w:rPr>
          <w:rStyle w:val="FootnoteReference"/>
          <w:rFonts w:ascii="Titillium" w:eastAsia="Titillium" w:hAnsi="Titillium" w:cs="Titillium"/>
        </w:rPr>
        <w:footnoteReference w:id="4"/>
      </w:r>
      <w:r w:rsidRPr="1F95E526">
        <w:rPr>
          <w:rFonts w:ascii="Titillium" w:eastAsia="Titillium" w:hAnsi="Titillium" w:cs="Titillium"/>
        </w:rPr>
        <w:t xml:space="preserve"> that are deemed to be white-spot are: Albania, Bulgaria, Cyprus, Malta, Moldova, Montenegro, North Macedonia, Serbia, Ukraine.  </w:t>
      </w:r>
    </w:p>
    <w:tbl>
      <w:tblPr>
        <w:tblStyle w:val="TableGrid"/>
        <w:tblW w:w="9360" w:type="dxa"/>
        <w:tblLayout w:type="fixed"/>
        <w:tblLook w:val="06A0" w:firstRow="1" w:lastRow="0" w:firstColumn="1" w:lastColumn="0" w:noHBand="1" w:noVBand="1"/>
      </w:tblPr>
      <w:tblGrid>
        <w:gridCol w:w="2040"/>
        <w:gridCol w:w="1464"/>
        <w:gridCol w:w="1464"/>
        <w:gridCol w:w="1464"/>
        <w:gridCol w:w="1464"/>
        <w:gridCol w:w="1464"/>
      </w:tblGrid>
      <w:tr w:rsidR="00423AF0" w14:paraId="629D3920" w14:textId="77777777" w:rsidTr="003379AC">
        <w:trPr>
          <w:trHeight w:val="300"/>
        </w:trPr>
        <w:tc>
          <w:tcPr>
            <w:tcW w:w="2040" w:type="dxa"/>
            <w:shd w:val="clear" w:color="auto" w:fill="002060"/>
          </w:tcPr>
          <w:p w14:paraId="0E2B87B6" w14:textId="77777777" w:rsidR="00423AF0" w:rsidRDefault="00423AF0" w:rsidP="003379AC">
            <w:pPr>
              <w:rPr>
                <w:rFonts w:ascii="Titillium" w:eastAsia="Titillium" w:hAnsi="Titillium" w:cs="Titillium"/>
                <w:color w:val="FFFFFF" w:themeColor="background1"/>
              </w:rPr>
            </w:pPr>
            <w:r w:rsidRPr="636C4F36">
              <w:rPr>
                <w:rFonts w:ascii="Titillium" w:eastAsia="Titillium" w:hAnsi="Titillium" w:cs="Titillium"/>
                <w:color w:val="FFFFFF" w:themeColor="background1"/>
              </w:rPr>
              <w:t>Countries</w:t>
            </w:r>
          </w:p>
        </w:tc>
        <w:tc>
          <w:tcPr>
            <w:tcW w:w="1464" w:type="dxa"/>
            <w:shd w:val="clear" w:color="auto" w:fill="002060"/>
          </w:tcPr>
          <w:p w14:paraId="3701F6A8" w14:textId="77777777" w:rsidR="00423AF0" w:rsidRDefault="00423AF0" w:rsidP="003379AC">
            <w:pPr>
              <w:rPr>
                <w:rFonts w:ascii="Titillium" w:eastAsia="Titillium" w:hAnsi="Titillium" w:cs="Titillium"/>
                <w:color w:val="FFFFFF" w:themeColor="background1"/>
              </w:rPr>
            </w:pPr>
            <w:r w:rsidRPr="636C4F36">
              <w:rPr>
                <w:rFonts w:ascii="Titillium" w:eastAsia="Titillium" w:hAnsi="Titillium" w:cs="Titillium"/>
                <w:color w:val="FFFFFF" w:themeColor="background1"/>
              </w:rPr>
              <w:t>EITECO1</w:t>
            </w:r>
          </w:p>
        </w:tc>
        <w:tc>
          <w:tcPr>
            <w:tcW w:w="1464" w:type="dxa"/>
            <w:shd w:val="clear" w:color="auto" w:fill="002060"/>
          </w:tcPr>
          <w:p w14:paraId="616064F2" w14:textId="77777777" w:rsidR="00423AF0" w:rsidRDefault="00423AF0" w:rsidP="003379AC">
            <w:pPr>
              <w:rPr>
                <w:rFonts w:ascii="Titillium" w:eastAsia="Titillium" w:hAnsi="Titillium" w:cs="Titillium"/>
                <w:color w:val="FFFFFF" w:themeColor="background1"/>
              </w:rPr>
            </w:pPr>
            <w:r w:rsidRPr="636C4F36">
              <w:rPr>
                <w:rFonts w:ascii="Titillium" w:eastAsia="Titillium" w:hAnsi="Titillium" w:cs="Titillium"/>
                <w:color w:val="FFFFFF" w:themeColor="background1"/>
              </w:rPr>
              <w:t>EITCO2</w:t>
            </w:r>
          </w:p>
        </w:tc>
        <w:tc>
          <w:tcPr>
            <w:tcW w:w="1464" w:type="dxa"/>
            <w:shd w:val="clear" w:color="auto" w:fill="002060"/>
          </w:tcPr>
          <w:p w14:paraId="4A0D708E" w14:textId="77777777" w:rsidR="00423AF0" w:rsidRDefault="00423AF0" w:rsidP="003379AC">
            <w:pPr>
              <w:rPr>
                <w:rFonts w:ascii="Titillium" w:eastAsia="Titillium" w:hAnsi="Titillium" w:cs="Titillium"/>
                <w:color w:val="FFFFFF" w:themeColor="background1"/>
              </w:rPr>
            </w:pPr>
            <w:r w:rsidRPr="636C4F36">
              <w:rPr>
                <w:rFonts w:ascii="Titillium" w:eastAsia="Titillium" w:hAnsi="Titillium" w:cs="Titillium"/>
                <w:color w:val="FFFFFF" w:themeColor="background1"/>
              </w:rPr>
              <w:t>EITCO3</w:t>
            </w:r>
          </w:p>
        </w:tc>
        <w:tc>
          <w:tcPr>
            <w:tcW w:w="1464" w:type="dxa"/>
            <w:shd w:val="clear" w:color="auto" w:fill="002060"/>
          </w:tcPr>
          <w:p w14:paraId="00A3CCDC" w14:textId="77777777" w:rsidR="00423AF0" w:rsidRDefault="00423AF0" w:rsidP="003379AC">
            <w:pPr>
              <w:rPr>
                <w:rFonts w:ascii="Titillium" w:eastAsia="Titillium" w:hAnsi="Titillium" w:cs="Titillium"/>
                <w:color w:val="FFFFFF" w:themeColor="background1"/>
              </w:rPr>
            </w:pPr>
            <w:r w:rsidRPr="636C4F36">
              <w:rPr>
                <w:rFonts w:ascii="Titillium" w:eastAsia="Titillium" w:hAnsi="Titillium" w:cs="Titillium"/>
                <w:color w:val="FFFFFF" w:themeColor="background1"/>
              </w:rPr>
              <w:t>EITCO4</w:t>
            </w:r>
          </w:p>
        </w:tc>
        <w:tc>
          <w:tcPr>
            <w:tcW w:w="1464" w:type="dxa"/>
            <w:shd w:val="clear" w:color="auto" w:fill="002060"/>
          </w:tcPr>
          <w:p w14:paraId="26F6BC29" w14:textId="77777777" w:rsidR="00423AF0" w:rsidRDefault="00423AF0" w:rsidP="003379AC">
            <w:pPr>
              <w:rPr>
                <w:rFonts w:ascii="Titillium" w:eastAsia="Titillium" w:hAnsi="Titillium" w:cs="Titillium"/>
                <w:color w:val="FFFFFF" w:themeColor="background1"/>
              </w:rPr>
            </w:pPr>
            <w:r w:rsidRPr="636C4F36">
              <w:rPr>
                <w:rFonts w:ascii="Titillium" w:eastAsia="Titillium" w:hAnsi="Titillium" w:cs="Titillium"/>
                <w:color w:val="FFFFFF" w:themeColor="background1"/>
              </w:rPr>
              <w:t>EITCO5</w:t>
            </w:r>
          </w:p>
        </w:tc>
      </w:tr>
      <w:tr w:rsidR="00423AF0" w14:paraId="4B63331C" w14:textId="77777777" w:rsidTr="003379AC">
        <w:trPr>
          <w:trHeight w:val="300"/>
        </w:trPr>
        <w:tc>
          <w:tcPr>
            <w:tcW w:w="2040" w:type="dxa"/>
          </w:tcPr>
          <w:p w14:paraId="44A569DD" w14:textId="77777777" w:rsidR="00423AF0" w:rsidRDefault="00423AF0" w:rsidP="003379AC">
            <w:pPr>
              <w:rPr>
                <w:rFonts w:ascii="Titillium" w:eastAsia="Titillium" w:hAnsi="Titillium" w:cs="Titillium"/>
                <w:b/>
                <w:bCs/>
              </w:rPr>
            </w:pPr>
          </w:p>
          <w:p w14:paraId="18DB0E5E" w14:textId="77777777" w:rsidR="00423AF0" w:rsidRDefault="00423AF0" w:rsidP="003379AC">
            <w:pPr>
              <w:rPr>
                <w:rFonts w:ascii="Titillium" w:eastAsia="Titillium" w:hAnsi="Titillium" w:cs="Titillium"/>
                <w:b/>
                <w:bCs/>
              </w:rPr>
            </w:pPr>
          </w:p>
          <w:p w14:paraId="26C2DFC7" w14:textId="77777777" w:rsidR="00423AF0" w:rsidRDefault="00423AF0" w:rsidP="003379AC">
            <w:pPr>
              <w:rPr>
                <w:rFonts w:ascii="Titillium" w:eastAsia="Titillium" w:hAnsi="Titillium" w:cs="Titillium"/>
              </w:rPr>
            </w:pPr>
            <w:r w:rsidRPr="636C4F36">
              <w:rPr>
                <w:rFonts w:ascii="Titillium" w:eastAsia="Titillium" w:hAnsi="Titillium" w:cs="Titillium"/>
                <w:b/>
                <w:bCs/>
              </w:rPr>
              <w:lastRenderedPageBreak/>
              <w:t xml:space="preserve">Well </w:t>
            </w:r>
            <w:proofErr w:type="spellStart"/>
            <w:r w:rsidRPr="636C4F36">
              <w:rPr>
                <w:rFonts w:ascii="Titillium" w:eastAsia="Titillium" w:hAnsi="Titillium" w:cs="Titillium"/>
                <w:b/>
                <w:bCs/>
              </w:rPr>
              <w:t>established</w:t>
            </w:r>
            <w:proofErr w:type="spellEnd"/>
            <w:r w:rsidRPr="636C4F36">
              <w:rPr>
                <w:rFonts w:ascii="Titillium" w:eastAsia="Titillium" w:hAnsi="Titillium" w:cs="Titillium"/>
                <w:b/>
                <w:bCs/>
              </w:rPr>
              <w:t xml:space="preserve"> countries</w:t>
            </w:r>
            <w:r w:rsidRPr="636C4F36">
              <w:rPr>
                <w:rFonts w:ascii="Titillium" w:eastAsia="Titillium" w:hAnsi="Titillium" w:cs="Titillium"/>
              </w:rPr>
              <w:t xml:space="preserve"> </w:t>
            </w:r>
          </w:p>
        </w:tc>
        <w:tc>
          <w:tcPr>
            <w:tcW w:w="1464" w:type="dxa"/>
            <w:vAlign w:val="center"/>
          </w:tcPr>
          <w:p w14:paraId="1D0F8E8A" w14:textId="77777777" w:rsidR="00423AF0" w:rsidRDefault="00423AF0" w:rsidP="003379AC">
            <w:pPr>
              <w:jc w:val="center"/>
              <w:rPr>
                <w:rFonts w:ascii="Titillium" w:eastAsia="Titillium" w:hAnsi="Titillium" w:cs="Titillium"/>
              </w:rPr>
            </w:pPr>
            <w:r w:rsidRPr="636C4F36">
              <w:rPr>
                <w:rFonts w:ascii="Titillium" w:eastAsia="Titillium" w:hAnsi="Titillium" w:cs="Titillium"/>
              </w:rPr>
              <w:lastRenderedPageBreak/>
              <w:t>Yes</w:t>
            </w:r>
          </w:p>
        </w:tc>
        <w:tc>
          <w:tcPr>
            <w:tcW w:w="1464" w:type="dxa"/>
            <w:vAlign w:val="center"/>
          </w:tcPr>
          <w:p w14:paraId="78DC1547" w14:textId="77777777" w:rsidR="00423AF0" w:rsidRPr="00423AF0" w:rsidRDefault="00423AF0" w:rsidP="003379AC">
            <w:pPr>
              <w:jc w:val="center"/>
              <w:rPr>
                <w:rFonts w:ascii="Titillium" w:eastAsia="Titillium" w:hAnsi="Titillium" w:cs="Titillium"/>
                <w:lang w:val="en-GB"/>
              </w:rPr>
            </w:pPr>
            <w:r w:rsidRPr="00423AF0">
              <w:rPr>
                <w:rFonts w:ascii="Titillium" w:eastAsia="Titillium" w:hAnsi="Titillium" w:cs="Titillium"/>
                <w:lang w:val="en-GB"/>
              </w:rPr>
              <w:t xml:space="preserve"> Only for KICs not present in the country</w:t>
            </w:r>
          </w:p>
        </w:tc>
        <w:tc>
          <w:tcPr>
            <w:tcW w:w="1464" w:type="dxa"/>
            <w:vAlign w:val="center"/>
          </w:tcPr>
          <w:p w14:paraId="2E293A22" w14:textId="77777777" w:rsidR="00423AF0" w:rsidRDefault="00423AF0" w:rsidP="003379AC">
            <w:pPr>
              <w:jc w:val="center"/>
              <w:rPr>
                <w:rFonts w:ascii="Titillium" w:eastAsia="Titillium" w:hAnsi="Titillium" w:cs="Titillium"/>
              </w:rPr>
            </w:pPr>
            <w:r w:rsidRPr="636C4F36">
              <w:rPr>
                <w:rFonts w:ascii="Titillium" w:eastAsia="Titillium" w:hAnsi="Titillium" w:cs="Titillium"/>
              </w:rPr>
              <w:t>Yes</w:t>
            </w:r>
          </w:p>
        </w:tc>
        <w:tc>
          <w:tcPr>
            <w:tcW w:w="1464" w:type="dxa"/>
            <w:vAlign w:val="center"/>
          </w:tcPr>
          <w:p w14:paraId="7EA7EF35" w14:textId="77777777" w:rsidR="00423AF0" w:rsidRPr="00423AF0" w:rsidRDefault="00423AF0" w:rsidP="003379AC">
            <w:pPr>
              <w:jc w:val="center"/>
              <w:rPr>
                <w:rFonts w:ascii="Titillium" w:eastAsia="Titillium" w:hAnsi="Titillium" w:cs="Titillium"/>
                <w:lang w:val="en-GB"/>
              </w:rPr>
            </w:pPr>
            <w:r w:rsidRPr="00423AF0">
              <w:rPr>
                <w:rFonts w:ascii="Titillium" w:eastAsia="Titillium" w:hAnsi="Titillium" w:cs="Titillium"/>
                <w:lang w:val="en-GB"/>
              </w:rPr>
              <w:t xml:space="preserve"> Only for KICs not present in the country</w:t>
            </w:r>
          </w:p>
        </w:tc>
        <w:tc>
          <w:tcPr>
            <w:tcW w:w="1464" w:type="dxa"/>
            <w:vAlign w:val="center"/>
          </w:tcPr>
          <w:p w14:paraId="0B90C1B0" w14:textId="77777777" w:rsidR="00423AF0" w:rsidRDefault="00423AF0" w:rsidP="003379AC">
            <w:pPr>
              <w:jc w:val="center"/>
              <w:rPr>
                <w:rFonts w:ascii="Titillium" w:eastAsia="Titillium" w:hAnsi="Titillium" w:cs="Titillium"/>
              </w:rPr>
            </w:pPr>
            <w:r w:rsidRPr="636C4F36">
              <w:rPr>
                <w:rFonts w:ascii="Titillium" w:eastAsia="Titillium" w:hAnsi="Titillium" w:cs="Titillium"/>
              </w:rPr>
              <w:t>Yes</w:t>
            </w:r>
          </w:p>
        </w:tc>
      </w:tr>
      <w:tr w:rsidR="00423AF0" w14:paraId="28C9E354" w14:textId="77777777" w:rsidTr="003379AC">
        <w:trPr>
          <w:trHeight w:val="300"/>
        </w:trPr>
        <w:tc>
          <w:tcPr>
            <w:tcW w:w="2040" w:type="dxa"/>
          </w:tcPr>
          <w:p w14:paraId="37AC9F86" w14:textId="77777777" w:rsidR="00423AF0" w:rsidRDefault="00423AF0" w:rsidP="003379AC">
            <w:pPr>
              <w:rPr>
                <w:rFonts w:ascii="Titillium" w:eastAsia="Titillium" w:hAnsi="Titillium" w:cs="Titillium"/>
                <w:b/>
                <w:bCs/>
              </w:rPr>
            </w:pPr>
          </w:p>
          <w:p w14:paraId="7470B629" w14:textId="77777777" w:rsidR="00423AF0" w:rsidRDefault="00423AF0" w:rsidP="003379AC">
            <w:pPr>
              <w:rPr>
                <w:rFonts w:ascii="Titillium" w:eastAsia="Titillium" w:hAnsi="Titillium" w:cs="Titillium"/>
                <w:b/>
                <w:bCs/>
              </w:rPr>
            </w:pPr>
          </w:p>
          <w:p w14:paraId="230944F9" w14:textId="77777777" w:rsidR="00423AF0" w:rsidRDefault="00423AF0" w:rsidP="003379AC">
            <w:pPr>
              <w:rPr>
                <w:rFonts w:ascii="Titillium" w:eastAsia="Titillium" w:hAnsi="Titillium" w:cs="Titillium"/>
                <w:b/>
                <w:bCs/>
              </w:rPr>
            </w:pPr>
            <w:r w:rsidRPr="636C4F36">
              <w:rPr>
                <w:rFonts w:ascii="Titillium" w:eastAsia="Titillium" w:hAnsi="Titillium" w:cs="Titillium"/>
                <w:b/>
                <w:bCs/>
              </w:rPr>
              <w:t>White-spot countries</w:t>
            </w:r>
          </w:p>
        </w:tc>
        <w:tc>
          <w:tcPr>
            <w:tcW w:w="1464" w:type="dxa"/>
            <w:vAlign w:val="center"/>
          </w:tcPr>
          <w:p w14:paraId="35A7C486" w14:textId="77777777" w:rsidR="00423AF0" w:rsidRDefault="00423AF0" w:rsidP="003379AC">
            <w:pPr>
              <w:jc w:val="center"/>
              <w:rPr>
                <w:rFonts w:ascii="Titillium" w:eastAsia="Titillium" w:hAnsi="Titillium" w:cs="Titillium"/>
              </w:rPr>
            </w:pPr>
          </w:p>
          <w:p w14:paraId="002B07C6" w14:textId="77777777" w:rsidR="00423AF0" w:rsidRDefault="00423AF0" w:rsidP="003379AC">
            <w:pPr>
              <w:jc w:val="center"/>
              <w:rPr>
                <w:rFonts w:ascii="Titillium" w:eastAsia="Titillium" w:hAnsi="Titillium" w:cs="Titillium"/>
              </w:rPr>
            </w:pPr>
          </w:p>
          <w:p w14:paraId="0DD5E829" w14:textId="77777777" w:rsidR="00423AF0" w:rsidRDefault="00423AF0" w:rsidP="003379AC">
            <w:pPr>
              <w:jc w:val="center"/>
              <w:rPr>
                <w:rFonts w:ascii="Titillium" w:eastAsia="Titillium" w:hAnsi="Titillium" w:cs="Titillium"/>
              </w:rPr>
            </w:pPr>
            <w:r w:rsidRPr="636C4F36">
              <w:rPr>
                <w:rFonts w:ascii="Titillium" w:eastAsia="Titillium" w:hAnsi="Titillium" w:cs="Titillium"/>
              </w:rPr>
              <w:t>Yes</w:t>
            </w:r>
          </w:p>
          <w:p w14:paraId="62382D55" w14:textId="77777777" w:rsidR="00423AF0" w:rsidRDefault="00423AF0" w:rsidP="003379AC">
            <w:pPr>
              <w:jc w:val="center"/>
              <w:rPr>
                <w:rFonts w:ascii="Titillium" w:eastAsia="Titillium" w:hAnsi="Titillium" w:cs="Titillium"/>
              </w:rPr>
            </w:pPr>
          </w:p>
          <w:p w14:paraId="2030062E" w14:textId="77777777" w:rsidR="00423AF0" w:rsidRDefault="00423AF0" w:rsidP="003379AC">
            <w:pPr>
              <w:jc w:val="center"/>
              <w:rPr>
                <w:rFonts w:ascii="Titillium" w:eastAsia="Titillium" w:hAnsi="Titillium" w:cs="Titillium"/>
              </w:rPr>
            </w:pPr>
          </w:p>
        </w:tc>
        <w:tc>
          <w:tcPr>
            <w:tcW w:w="1464" w:type="dxa"/>
            <w:vAlign w:val="center"/>
          </w:tcPr>
          <w:p w14:paraId="6D69D8C4" w14:textId="77777777" w:rsidR="00423AF0" w:rsidRDefault="00423AF0" w:rsidP="003379AC">
            <w:pPr>
              <w:jc w:val="center"/>
              <w:rPr>
                <w:rFonts w:ascii="Titillium" w:eastAsia="Titillium" w:hAnsi="Titillium" w:cs="Titillium"/>
              </w:rPr>
            </w:pPr>
            <w:r w:rsidRPr="636C4F36">
              <w:rPr>
                <w:rFonts w:ascii="Titillium" w:eastAsia="Titillium" w:hAnsi="Titillium" w:cs="Titillium"/>
              </w:rPr>
              <w:t>Yes</w:t>
            </w:r>
          </w:p>
        </w:tc>
        <w:tc>
          <w:tcPr>
            <w:tcW w:w="1464" w:type="dxa"/>
            <w:vAlign w:val="center"/>
          </w:tcPr>
          <w:p w14:paraId="10ADD10A" w14:textId="77777777" w:rsidR="00423AF0" w:rsidRDefault="00423AF0" w:rsidP="003379AC">
            <w:pPr>
              <w:jc w:val="center"/>
              <w:rPr>
                <w:rFonts w:ascii="Titillium" w:eastAsia="Titillium" w:hAnsi="Titillium" w:cs="Titillium"/>
              </w:rPr>
            </w:pPr>
            <w:r w:rsidRPr="636C4F36">
              <w:rPr>
                <w:rFonts w:ascii="Titillium" w:eastAsia="Titillium" w:hAnsi="Titillium" w:cs="Titillium"/>
              </w:rPr>
              <w:t>Yes</w:t>
            </w:r>
          </w:p>
        </w:tc>
        <w:tc>
          <w:tcPr>
            <w:tcW w:w="1464" w:type="dxa"/>
            <w:vAlign w:val="center"/>
          </w:tcPr>
          <w:p w14:paraId="77392D98" w14:textId="77777777" w:rsidR="00423AF0" w:rsidRDefault="00423AF0" w:rsidP="003379AC">
            <w:pPr>
              <w:jc w:val="center"/>
              <w:rPr>
                <w:rFonts w:ascii="Titillium" w:eastAsia="Titillium" w:hAnsi="Titillium" w:cs="Titillium"/>
              </w:rPr>
            </w:pPr>
            <w:r w:rsidRPr="636C4F36">
              <w:rPr>
                <w:rFonts w:ascii="Titillium" w:eastAsia="Titillium" w:hAnsi="Titillium" w:cs="Titillium"/>
              </w:rPr>
              <w:t>Yes</w:t>
            </w:r>
          </w:p>
        </w:tc>
        <w:tc>
          <w:tcPr>
            <w:tcW w:w="1464" w:type="dxa"/>
            <w:vAlign w:val="center"/>
          </w:tcPr>
          <w:p w14:paraId="67970C90" w14:textId="77777777" w:rsidR="00423AF0" w:rsidRDefault="00423AF0" w:rsidP="003379AC">
            <w:pPr>
              <w:jc w:val="center"/>
              <w:rPr>
                <w:rFonts w:ascii="Titillium" w:eastAsia="Titillium" w:hAnsi="Titillium" w:cs="Titillium"/>
              </w:rPr>
            </w:pPr>
            <w:r w:rsidRPr="636C4F36">
              <w:rPr>
                <w:rFonts w:ascii="Titillium" w:eastAsia="Titillium" w:hAnsi="Titillium" w:cs="Titillium"/>
              </w:rPr>
              <w:t>Yes</w:t>
            </w:r>
          </w:p>
        </w:tc>
      </w:tr>
    </w:tbl>
    <w:p w14:paraId="6422E062" w14:textId="77777777" w:rsidR="00423AF0" w:rsidRDefault="00423AF0" w:rsidP="00423AF0">
      <w:pPr>
        <w:jc w:val="center"/>
        <w:rPr>
          <w:rFonts w:ascii="Titillium" w:eastAsia="Titillium" w:hAnsi="Titillium" w:cs="Titillium"/>
        </w:rPr>
      </w:pPr>
    </w:p>
    <w:p w14:paraId="29070BC2" w14:textId="77777777" w:rsidR="00423AF0" w:rsidRPr="00D90AD3" w:rsidRDefault="00423AF0" w:rsidP="7295751F">
      <w:pPr>
        <w:jc w:val="both"/>
        <w:rPr>
          <w:rFonts w:asciiTheme="minorHAnsi" w:hAnsiTheme="minorHAnsi"/>
          <w:b/>
          <w:bCs/>
          <w:sz w:val="24"/>
          <w:szCs w:val="24"/>
        </w:rPr>
      </w:pPr>
      <w:bookmarkStart w:id="78" w:name="_Toc1251916061"/>
      <w:bookmarkStart w:id="79" w:name="_Toc205312698"/>
      <w:r w:rsidRPr="7295751F">
        <w:rPr>
          <w:rFonts w:asciiTheme="minorHAnsi" w:hAnsiTheme="minorHAnsi"/>
          <w:b/>
          <w:bCs/>
          <w:sz w:val="24"/>
          <w:szCs w:val="24"/>
        </w:rPr>
        <w:t>3.3. Minimum targets</w:t>
      </w:r>
      <w:bookmarkEnd w:id="78"/>
      <w:bookmarkEnd w:id="79"/>
    </w:p>
    <w:p w14:paraId="0E5AEA7F" w14:textId="77777777" w:rsidR="00423AF0" w:rsidRDefault="00423AF0" w:rsidP="00423AF0">
      <w:pPr>
        <w:rPr>
          <w:rFonts w:ascii="Titillium" w:eastAsia="Titillium" w:hAnsi="Titillium" w:cs="Titillium"/>
        </w:rPr>
      </w:pPr>
    </w:p>
    <w:tbl>
      <w:tblPr>
        <w:tblStyle w:val="TableGrid"/>
        <w:tblW w:w="9503" w:type="dxa"/>
        <w:tblLook w:val="04A0" w:firstRow="1" w:lastRow="0" w:firstColumn="1" w:lastColumn="0" w:noHBand="0" w:noVBand="1"/>
      </w:tblPr>
      <w:tblGrid>
        <w:gridCol w:w="1065"/>
        <w:gridCol w:w="3540"/>
        <w:gridCol w:w="2550"/>
        <w:gridCol w:w="2348"/>
      </w:tblGrid>
      <w:tr w:rsidR="00423AF0" w:rsidRPr="005F6401" w14:paraId="4EF2C1C4" w14:textId="77777777" w:rsidTr="2E26A9A3">
        <w:trPr>
          <w:trHeight w:val="300"/>
        </w:trPr>
        <w:tc>
          <w:tcPr>
            <w:tcW w:w="9503" w:type="dxa"/>
            <w:gridSpan w:val="4"/>
            <w:shd w:val="clear" w:color="auto" w:fill="002060"/>
            <w:noWrap/>
            <w:hideMark/>
          </w:tcPr>
          <w:p w14:paraId="50E2B585" w14:textId="77777777" w:rsidR="00423AF0" w:rsidRPr="00423AF0" w:rsidRDefault="00423AF0" w:rsidP="003379AC">
            <w:pPr>
              <w:jc w:val="center"/>
              <w:rPr>
                <w:rFonts w:ascii="Titillium" w:eastAsia="Titillium" w:hAnsi="Titillium" w:cs="Titillium"/>
                <w:b/>
                <w:bCs/>
                <w:color w:val="FFFFFF" w:themeColor="background1"/>
                <w:lang w:val="en-GB"/>
              </w:rPr>
            </w:pPr>
          </w:p>
          <w:p w14:paraId="245A8FAD" w14:textId="77777777" w:rsidR="00423AF0" w:rsidRPr="00423AF0" w:rsidRDefault="00423AF0" w:rsidP="003379AC">
            <w:pPr>
              <w:jc w:val="center"/>
              <w:rPr>
                <w:rFonts w:ascii="Titillium" w:eastAsia="Titillium" w:hAnsi="Titillium" w:cs="Titillium"/>
                <w:b/>
                <w:bCs/>
                <w:color w:val="FFFFFF" w:themeColor="background1"/>
                <w:lang w:val="en-GB"/>
              </w:rPr>
            </w:pPr>
            <w:r w:rsidRPr="00423AF0">
              <w:rPr>
                <w:rFonts w:ascii="Titillium" w:eastAsia="Titillium" w:hAnsi="Titillium" w:cs="Titillium"/>
                <w:b/>
                <w:bCs/>
                <w:color w:val="FFFFFF" w:themeColor="background1"/>
                <w:lang w:val="en-GB"/>
              </w:rPr>
              <w:t>EIT Community Officer minimum yearly target values</w:t>
            </w:r>
          </w:p>
          <w:p w14:paraId="4146A9F4" w14:textId="77777777" w:rsidR="00423AF0" w:rsidRPr="00423AF0" w:rsidRDefault="00423AF0" w:rsidP="003379AC">
            <w:pPr>
              <w:jc w:val="center"/>
              <w:rPr>
                <w:rFonts w:ascii="Titillium" w:eastAsia="Titillium" w:hAnsi="Titillium" w:cs="Titillium"/>
                <w:b/>
                <w:bCs/>
                <w:color w:val="FFFFFF" w:themeColor="background1"/>
                <w:lang w:val="en-GB"/>
              </w:rPr>
            </w:pPr>
          </w:p>
        </w:tc>
      </w:tr>
      <w:tr w:rsidR="00423AF0" w:rsidRPr="005F6401" w14:paraId="440769F1" w14:textId="77777777" w:rsidTr="2E26A9A3">
        <w:trPr>
          <w:trHeight w:val="300"/>
        </w:trPr>
        <w:tc>
          <w:tcPr>
            <w:tcW w:w="1065" w:type="dxa"/>
            <w:noWrap/>
            <w:hideMark/>
          </w:tcPr>
          <w:p w14:paraId="52006B05" w14:textId="77777777" w:rsidR="00423AF0" w:rsidRPr="00423AF0" w:rsidRDefault="00423AF0" w:rsidP="003379AC">
            <w:pPr>
              <w:jc w:val="both"/>
              <w:rPr>
                <w:rFonts w:ascii="Titillium" w:eastAsia="Titillium" w:hAnsi="Titillium" w:cs="Titillium"/>
                <w:sz w:val="18"/>
                <w:szCs w:val="18"/>
                <w:lang w:val="en-GB"/>
              </w:rPr>
            </w:pPr>
            <w:r w:rsidRPr="00423AF0">
              <w:rPr>
                <w:rFonts w:ascii="Titillium" w:eastAsia="Titillium" w:hAnsi="Titillium" w:cs="Titillium"/>
                <w:sz w:val="18"/>
                <w:szCs w:val="18"/>
                <w:lang w:val="en-GB"/>
              </w:rPr>
              <w:t> </w:t>
            </w:r>
          </w:p>
        </w:tc>
        <w:tc>
          <w:tcPr>
            <w:tcW w:w="3540" w:type="dxa"/>
            <w:noWrap/>
            <w:hideMark/>
          </w:tcPr>
          <w:p w14:paraId="75169174" w14:textId="77777777" w:rsidR="00423AF0" w:rsidRPr="00423AF0" w:rsidRDefault="00423AF0" w:rsidP="003379AC">
            <w:pPr>
              <w:jc w:val="both"/>
              <w:rPr>
                <w:rFonts w:ascii="Titillium" w:eastAsia="Titillium" w:hAnsi="Titillium" w:cs="Titillium"/>
                <w:sz w:val="18"/>
                <w:szCs w:val="18"/>
                <w:lang w:val="en-GB"/>
              </w:rPr>
            </w:pPr>
            <w:r w:rsidRPr="00423AF0">
              <w:rPr>
                <w:rFonts w:ascii="Titillium" w:eastAsia="Titillium" w:hAnsi="Titillium" w:cs="Titillium"/>
                <w:sz w:val="18"/>
                <w:szCs w:val="18"/>
                <w:lang w:val="en-GB"/>
              </w:rPr>
              <w:t> </w:t>
            </w:r>
          </w:p>
        </w:tc>
        <w:tc>
          <w:tcPr>
            <w:tcW w:w="2550" w:type="dxa"/>
          </w:tcPr>
          <w:p w14:paraId="7DD70BE5" w14:textId="77777777" w:rsidR="00423AF0" w:rsidRDefault="00423AF0" w:rsidP="003379AC">
            <w:pPr>
              <w:jc w:val="center"/>
              <w:rPr>
                <w:rFonts w:ascii="Titillium" w:eastAsia="Titillium" w:hAnsi="Titillium" w:cs="Titillium"/>
                <w:b/>
                <w:bCs/>
              </w:rPr>
            </w:pPr>
            <w:r w:rsidRPr="636C4F36">
              <w:rPr>
                <w:rFonts w:ascii="Titillium" w:eastAsia="Titillium" w:hAnsi="Titillium" w:cs="Titillium"/>
                <w:b/>
                <w:bCs/>
                <w:sz w:val="22"/>
              </w:rPr>
              <w:t>White Spot Countries</w:t>
            </w:r>
          </w:p>
        </w:tc>
        <w:tc>
          <w:tcPr>
            <w:tcW w:w="2348" w:type="dxa"/>
          </w:tcPr>
          <w:p w14:paraId="3DF03AAA" w14:textId="77777777" w:rsidR="00423AF0" w:rsidRDefault="00423AF0" w:rsidP="003379AC">
            <w:pPr>
              <w:jc w:val="center"/>
              <w:rPr>
                <w:rFonts w:ascii="Titillium" w:eastAsia="Titillium" w:hAnsi="Titillium" w:cs="Titillium"/>
                <w:b/>
                <w:bCs/>
              </w:rPr>
            </w:pPr>
            <w:proofErr w:type="spellStart"/>
            <w:r w:rsidRPr="636C4F36">
              <w:rPr>
                <w:rFonts w:ascii="Titillium" w:eastAsia="Titillium" w:hAnsi="Titillium" w:cs="Titillium"/>
                <w:b/>
                <w:bCs/>
                <w:sz w:val="22"/>
              </w:rPr>
              <w:t>Established</w:t>
            </w:r>
            <w:proofErr w:type="spellEnd"/>
            <w:r w:rsidRPr="636C4F36">
              <w:rPr>
                <w:rFonts w:ascii="Titillium" w:eastAsia="Titillium" w:hAnsi="Titillium" w:cs="Titillium"/>
                <w:b/>
                <w:bCs/>
                <w:sz w:val="22"/>
              </w:rPr>
              <w:t xml:space="preserve"> Countries</w:t>
            </w:r>
          </w:p>
        </w:tc>
      </w:tr>
      <w:tr w:rsidR="00423AF0" w14:paraId="0343D1FD" w14:textId="77777777" w:rsidTr="2E26A9A3">
        <w:trPr>
          <w:trHeight w:val="300"/>
        </w:trPr>
        <w:tc>
          <w:tcPr>
            <w:tcW w:w="1065" w:type="dxa"/>
            <w:shd w:val="clear" w:color="auto" w:fill="002060"/>
            <w:noWrap/>
            <w:vAlign w:val="center"/>
            <w:hideMark/>
          </w:tcPr>
          <w:p w14:paraId="6B7828C0" w14:textId="77777777" w:rsidR="00423AF0" w:rsidRDefault="00423AF0" w:rsidP="003379AC">
            <w:pPr>
              <w:jc w:val="center"/>
              <w:rPr>
                <w:rFonts w:ascii="Titillium" w:eastAsia="Titillium" w:hAnsi="Titillium" w:cs="Titillium"/>
                <w:sz w:val="18"/>
                <w:szCs w:val="18"/>
              </w:rPr>
            </w:pPr>
          </w:p>
        </w:tc>
        <w:tc>
          <w:tcPr>
            <w:tcW w:w="3540" w:type="dxa"/>
            <w:shd w:val="clear" w:color="auto" w:fill="002060"/>
            <w:noWrap/>
            <w:vAlign w:val="center"/>
            <w:hideMark/>
          </w:tcPr>
          <w:p w14:paraId="7BC044A8" w14:textId="77777777" w:rsidR="00423AF0" w:rsidRDefault="00423AF0" w:rsidP="003379AC">
            <w:pPr>
              <w:jc w:val="center"/>
              <w:rPr>
                <w:rFonts w:ascii="Titillium" w:eastAsia="Titillium" w:hAnsi="Titillium" w:cs="Titillium"/>
                <w:sz w:val="18"/>
                <w:szCs w:val="18"/>
              </w:rPr>
            </w:pPr>
          </w:p>
        </w:tc>
        <w:tc>
          <w:tcPr>
            <w:tcW w:w="2550" w:type="dxa"/>
            <w:shd w:val="clear" w:color="auto" w:fill="002060"/>
            <w:vAlign w:val="center"/>
          </w:tcPr>
          <w:p w14:paraId="1A16EB6D" w14:textId="77777777" w:rsidR="00423AF0" w:rsidRDefault="00423AF0" w:rsidP="003379AC">
            <w:pPr>
              <w:jc w:val="center"/>
              <w:rPr>
                <w:rFonts w:ascii="Titillium" w:eastAsia="Titillium" w:hAnsi="Titillium" w:cs="Titillium"/>
                <w:b/>
                <w:bCs/>
                <w:color w:val="FFFFFF" w:themeColor="background1"/>
                <w:sz w:val="16"/>
                <w:szCs w:val="16"/>
              </w:rPr>
            </w:pPr>
          </w:p>
        </w:tc>
        <w:tc>
          <w:tcPr>
            <w:tcW w:w="2348" w:type="dxa"/>
            <w:shd w:val="clear" w:color="auto" w:fill="002060"/>
            <w:vAlign w:val="center"/>
          </w:tcPr>
          <w:p w14:paraId="7C527AF4" w14:textId="77777777" w:rsidR="00423AF0" w:rsidRDefault="00423AF0" w:rsidP="003379AC">
            <w:pPr>
              <w:jc w:val="center"/>
              <w:rPr>
                <w:rFonts w:ascii="Titillium" w:eastAsia="Titillium" w:hAnsi="Titillium" w:cs="Titillium"/>
                <w:b/>
                <w:bCs/>
                <w:color w:val="FFFFFF" w:themeColor="background1"/>
                <w:sz w:val="16"/>
                <w:szCs w:val="16"/>
              </w:rPr>
            </w:pPr>
          </w:p>
        </w:tc>
      </w:tr>
      <w:tr w:rsidR="00423AF0" w:rsidRPr="00425B5B" w14:paraId="4AA85BE6" w14:textId="77777777" w:rsidTr="2E26A9A3">
        <w:trPr>
          <w:trHeight w:val="300"/>
        </w:trPr>
        <w:tc>
          <w:tcPr>
            <w:tcW w:w="1065" w:type="dxa"/>
            <w:vAlign w:val="center"/>
            <w:hideMark/>
          </w:tcPr>
          <w:p w14:paraId="5BDB8763" w14:textId="77777777" w:rsidR="00423AF0" w:rsidRPr="00392313" w:rsidRDefault="00423AF0" w:rsidP="003379AC">
            <w:pPr>
              <w:jc w:val="center"/>
              <w:rPr>
                <w:rFonts w:ascii="Titillium" w:eastAsia="Titillium" w:hAnsi="Titillium" w:cs="Titillium"/>
                <w:sz w:val="18"/>
                <w:szCs w:val="18"/>
              </w:rPr>
            </w:pPr>
            <w:r w:rsidRPr="77010471">
              <w:rPr>
                <w:rFonts w:ascii="Titillium" w:eastAsia="Titillium" w:hAnsi="Titillium" w:cs="Titillium"/>
                <w:color w:val="auto"/>
                <w:sz w:val="18"/>
                <w:szCs w:val="18"/>
                <w:lang w:eastAsia="en-US"/>
              </w:rPr>
              <w:t>EITECO01</w:t>
            </w:r>
          </w:p>
          <w:p w14:paraId="0FE5CED1" w14:textId="77777777" w:rsidR="00423AF0" w:rsidRPr="00392313" w:rsidRDefault="00423AF0" w:rsidP="003379AC">
            <w:pPr>
              <w:jc w:val="both"/>
              <w:rPr>
                <w:rFonts w:ascii="Titillium" w:eastAsia="Titillium" w:hAnsi="Titillium" w:cs="Titillium"/>
                <w:b/>
                <w:bCs/>
                <w:color w:val="FFFFFF" w:themeColor="background1"/>
                <w:sz w:val="18"/>
                <w:szCs w:val="18"/>
              </w:rPr>
            </w:pPr>
          </w:p>
        </w:tc>
        <w:tc>
          <w:tcPr>
            <w:tcW w:w="3540" w:type="dxa"/>
            <w:vAlign w:val="center"/>
            <w:hideMark/>
          </w:tcPr>
          <w:p w14:paraId="7E3BD6FA" w14:textId="77777777" w:rsidR="00423AF0" w:rsidRPr="00423AF0" w:rsidRDefault="00423AF0" w:rsidP="003379AC">
            <w:pPr>
              <w:rPr>
                <w:rFonts w:ascii="Titillium" w:eastAsia="Titillium" w:hAnsi="Titillium" w:cs="Titillium"/>
                <w:b/>
                <w:bCs/>
                <w:color w:val="FFFFFF" w:themeColor="background1"/>
                <w:lang w:val="en-GB"/>
              </w:rPr>
            </w:pPr>
            <w:r w:rsidRPr="00423AF0">
              <w:rPr>
                <w:rFonts w:ascii="Titillium" w:eastAsia="Titillium" w:hAnsi="Titillium" w:cs="Titillium"/>
                <w:sz w:val="18"/>
                <w:szCs w:val="18"/>
                <w:lang w:val="en-GB"/>
              </w:rPr>
              <w:t>Number of applicants eligible supported/referred by the ECO to the RI&amp;I Cluster innovation, education, business creation call</w:t>
            </w:r>
          </w:p>
        </w:tc>
        <w:tc>
          <w:tcPr>
            <w:tcW w:w="2550" w:type="dxa"/>
            <w:vAlign w:val="center"/>
          </w:tcPr>
          <w:p w14:paraId="6E6D7445" w14:textId="76E452D9" w:rsidR="00423AF0" w:rsidRPr="00392313" w:rsidRDefault="6648A3B3" w:rsidP="003379AC">
            <w:pPr>
              <w:jc w:val="center"/>
              <w:rPr>
                <w:rFonts w:ascii="Titillium" w:eastAsia="Titillium" w:hAnsi="Titillium" w:cs="Titillium"/>
                <w:sz w:val="18"/>
                <w:szCs w:val="18"/>
              </w:rPr>
            </w:pPr>
            <w:r w:rsidRPr="2E26A9A3">
              <w:rPr>
                <w:rFonts w:ascii="Titillium" w:eastAsia="Titillium" w:hAnsi="Titillium" w:cs="Titillium"/>
                <w:sz w:val="18"/>
                <w:szCs w:val="18"/>
              </w:rPr>
              <w:t>5</w:t>
            </w:r>
            <w:r w:rsidR="00423AF0" w:rsidRPr="2E26A9A3">
              <w:rPr>
                <w:rFonts w:ascii="Titillium" w:eastAsia="Titillium" w:hAnsi="Titillium" w:cs="Titillium"/>
                <w:sz w:val="18"/>
                <w:szCs w:val="18"/>
              </w:rPr>
              <w:t xml:space="preserve"> </w:t>
            </w:r>
            <w:proofErr w:type="spellStart"/>
            <w:r w:rsidR="00423AF0" w:rsidRPr="2E26A9A3">
              <w:rPr>
                <w:rFonts w:ascii="Titillium" w:eastAsia="Titillium" w:hAnsi="Titillium" w:cs="Titillium"/>
                <w:sz w:val="18"/>
                <w:szCs w:val="18"/>
              </w:rPr>
              <w:t>applicants</w:t>
            </w:r>
            <w:proofErr w:type="spellEnd"/>
            <w:r w:rsidR="3FAEB61F" w:rsidRPr="2E26A9A3">
              <w:rPr>
                <w:rFonts w:ascii="Titillium" w:eastAsia="Titillium" w:hAnsi="Titillium" w:cs="Titillium"/>
                <w:sz w:val="18"/>
                <w:szCs w:val="18"/>
              </w:rPr>
              <w:t xml:space="preserve"> (</w:t>
            </w:r>
            <w:r w:rsidR="424D6E52" w:rsidRPr="2E26A9A3">
              <w:rPr>
                <w:rFonts w:ascii="Titillium" w:eastAsia="Titillium" w:hAnsi="Titillium" w:cs="Titillium"/>
                <w:sz w:val="18"/>
                <w:szCs w:val="18"/>
              </w:rPr>
              <w:t>programmes</w:t>
            </w:r>
            <w:r w:rsidR="3FAEB61F" w:rsidRPr="2E26A9A3">
              <w:rPr>
                <w:rFonts w:ascii="Titillium" w:eastAsia="Titillium" w:hAnsi="Titillium" w:cs="Titillium"/>
                <w:sz w:val="18"/>
                <w:szCs w:val="18"/>
              </w:rPr>
              <w:t xml:space="preserve">) </w:t>
            </w:r>
            <w:proofErr w:type="spellStart"/>
            <w:r w:rsidR="3FAEB61F" w:rsidRPr="2E26A9A3">
              <w:rPr>
                <w:rFonts w:ascii="Titillium" w:eastAsia="Titillium" w:hAnsi="Titillium" w:cs="Titillium"/>
                <w:sz w:val="18"/>
                <w:szCs w:val="18"/>
              </w:rPr>
              <w:t>or</w:t>
            </w:r>
            <w:proofErr w:type="spellEnd"/>
            <w:r w:rsidR="64AE455B" w:rsidRPr="2E26A9A3">
              <w:rPr>
                <w:rFonts w:ascii="Titillium" w:eastAsia="Titillium" w:hAnsi="Titillium" w:cs="Titillium"/>
                <w:sz w:val="18"/>
                <w:szCs w:val="18"/>
              </w:rPr>
              <w:t xml:space="preserve"> </w:t>
            </w:r>
            <w:proofErr w:type="spellStart"/>
            <w:r w:rsidR="64AE455B" w:rsidRPr="2E26A9A3">
              <w:rPr>
                <w:rFonts w:ascii="Titillium" w:eastAsia="Titillium" w:hAnsi="Titillium" w:cs="Titillium"/>
                <w:sz w:val="18"/>
                <w:szCs w:val="18"/>
              </w:rPr>
              <w:t>p</w:t>
            </w:r>
            <w:r w:rsidR="00423AF0" w:rsidRPr="2E26A9A3">
              <w:rPr>
                <w:rFonts w:ascii="Titillium" w:eastAsia="Titillium" w:hAnsi="Titillium" w:cs="Titillium"/>
                <w:color w:val="auto"/>
                <w:sz w:val="18"/>
                <w:szCs w:val="18"/>
                <w:lang w:eastAsia="en-US"/>
              </w:rPr>
              <w:t>articipants</w:t>
            </w:r>
            <w:proofErr w:type="spellEnd"/>
            <w:r w:rsidR="64AE455B" w:rsidRPr="2E26A9A3">
              <w:rPr>
                <w:rFonts w:ascii="Titillium" w:eastAsia="Titillium" w:hAnsi="Titillium" w:cs="Titillium"/>
                <w:color w:val="auto"/>
                <w:sz w:val="18"/>
                <w:szCs w:val="18"/>
                <w:lang w:eastAsia="en-US"/>
              </w:rPr>
              <w:t xml:space="preserve"> (</w:t>
            </w:r>
            <w:proofErr w:type="spellStart"/>
            <w:r w:rsidR="64AE455B" w:rsidRPr="2E26A9A3">
              <w:rPr>
                <w:rFonts w:ascii="Titillium" w:eastAsia="Titillium" w:hAnsi="Titillium" w:cs="Titillium"/>
                <w:color w:val="auto"/>
                <w:sz w:val="18"/>
                <w:szCs w:val="18"/>
                <w:lang w:eastAsia="en-US"/>
              </w:rPr>
              <w:t>trainings</w:t>
            </w:r>
            <w:proofErr w:type="spellEnd"/>
            <w:r w:rsidR="64AE455B" w:rsidRPr="2E26A9A3">
              <w:rPr>
                <w:rFonts w:ascii="Titillium" w:eastAsia="Titillium" w:hAnsi="Titillium" w:cs="Titillium"/>
                <w:color w:val="auto"/>
                <w:sz w:val="18"/>
                <w:szCs w:val="18"/>
                <w:lang w:eastAsia="en-US"/>
              </w:rPr>
              <w:t>)</w:t>
            </w:r>
          </w:p>
        </w:tc>
        <w:tc>
          <w:tcPr>
            <w:tcW w:w="2348" w:type="dxa"/>
            <w:vAlign w:val="center"/>
          </w:tcPr>
          <w:p w14:paraId="740DA60E" w14:textId="004ACA4D" w:rsidR="00423AF0" w:rsidRPr="00392313" w:rsidRDefault="00423AF0" w:rsidP="003379AC">
            <w:pPr>
              <w:jc w:val="center"/>
              <w:rPr>
                <w:rFonts w:ascii="Titillium" w:eastAsia="Titillium" w:hAnsi="Titillium" w:cs="Titillium"/>
                <w:sz w:val="18"/>
                <w:szCs w:val="18"/>
              </w:rPr>
            </w:pPr>
            <w:r w:rsidRPr="2E26A9A3">
              <w:rPr>
                <w:rFonts w:ascii="Titillium" w:eastAsia="Titillium" w:hAnsi="Titillium" w:cs="Titillium"/>
                <w:sz w:val="18"/>
                <w:szCs w:val="18"/>
              </w:rPr>
              <w:t>1</w:t>
            </w:r>
            <w:r w:rsidR="6E527188" w:rsidRPr="2E26A9A3">
              <w:rPr>
                <w:rFonts w:ascii="Titillium" w:eastAsia="Titillium" w:hAnsi="Titillium" w:cs="Titillium"/>
                <w:sz w:val="18"/>
                <w:szCs w:val="18"/>
              </w:rPr>
              <w:t>0</w:t>
            </w:r>
            <w:r w:rsidRPr="2E26A9A3">
              <w:rPr>
                <w:rFonts w:ascii="Titillium" w:eastAsia="Titillium" w:hAnsi="Titillium" w:cs="Titillium"/>
                <w:sz w:val="18"/>
                <w:szCs w:val="18"/>
              </w:rPr>
              <w:t xml:space="preserve"> </w:t>
            </w:r>
            <w:proofErr w:type="spellStart"/>
            <w:r w:rsidRPr="2E26A9A3">
              <w:rPr>
                <w:rFonts w:ascii="Titillium" w:eastAsia="Titillium" w:hAnsi="Titillium" w:cs="Titillium"/>
                <w:sz w:val="18"/>
                <w:szCs w:val="18"/>
              </w:rPr>
              <w:t>applicants</w:t>
            </w:r>
            <w:proofErr w:type="spellEnd"/>
            <w:r w:rsidR="176A80B7" w:rsidRPr="2E26A9A3">
              <w:rPr>
                <w:rFonts w:ascii="Titillium" w:eastAsia="Titillium" w:hAnsi="Titillium" w:cs="Titillium"/>
                <w:sz w:val="18"/>
                <w:szCs w:val="18"/>
              </w:rPr>
              <w:t xml:space="preserve"> (</w:t>
            </w:r>
            <w:r w:rsidR="395101CC" w:rsidRPr="2E26A9A3">
              <w:rPr>
                <w:rFonts w:ascii="Titillium" w:eastAsia="Titillium" w:hAnsi="Titillium" w:cs="Titillium"/>
                <w:sz w:val="18"/>
                <w:szCs w:val="18"/>
              </w:rPr>
              <w:t>programmes</w:t>
            </w:r>
            <w:r w:rsidR="176A80B7" w:rsidRPr="2E26A9A3">
              <w:rPr>
                <w:rFonts w:ascii="Titillium" w:eastAsia="Titillium" w:hAnsi="Titillium" w:cs="Titillium"/>
                <w:sz w:val="18"/>
                <w:szCs w:val="18"/>
              </w:rPr>
              <w:t xml:space="preserve">) </w:t>
            </w:r>
            <w:proofErr w:type="spellStart"/>
            <w:r w:rsidR="176A80B7" w:rsidRPr="2E26A9A3">
              <w:rPr>
                <w:rFonts w:ascii="Titillium" w:eastAsia="Titillium" w:hAnsi="Titillium" w:cs="Titillium"/>
                <w:sz w:val="18"/>
                <w:szCs w:val="18"/>
              </w:rPr>
              <w:t>or</w:t>
            </w:r>
            <w:proofErr w:type="spellEnd"/>
            <w:r w:rsidR="176A80B7" w:rsidRPr="2E26A9A3">
              <w:rPr>
                <w:rFonts w:ascii="Titillium" w:eastAsia="Titillium" w:hAnsi="Titillium" w:cs="Titillium"/>
                <w:sz w:val="18"/>
                <w:szCs w:val="18"/>
              </w:rPr>
              <w:t xml:space="preserve"> </w:t>
            </w:r>
            <w:proofErr w:type="spellStart"/>
            <w:r w:rsidR="176A80B7" w:rsidRPr="2E26A9A3">
              <w:rPr>
                <w:rFonts w:ascii="Titillium" w:eastAsia="Titillium" w:hAnsi="Titillium" w:cs="Titillium"/>
                <w:sz w:val="18"/>
                <w:szCs w:val="18"/>
              </w:rPr>
              <w:t>p</w:t>
            </w:r>
            <w:r w:rsidR="176A80B7" w:rsidRPr="2E26A9A3">
              <w:rPr>
                <w:rFonts w:ascii="Titillium" w:eastAsia="Titillium" w:hAnsi="Titillium" w:cs="Titillium"/>
                <w:color w:val="auto"/>
                <w:sz w:val="18"/>
                <w:szCs w:val="18"/>
                <w:lang w:eastAsia="en-US"/>
              </w:rPr>
              <w:t>articipants</w:t>
            </w:r>
            <w:proofErr w:type="spellEnd"/>
            <w:r w:rsidR="176A80B7" w:rsidRPr="2E26A9A3">
              <w:rPr>
                <w:rFonts w:ascii="Titillium" w:eastAsia="Titillium" w:hAnsi="Titillium" w:cs="Titillium"/>
                <w:color w:val="auto"/>
                <w:sz w:val="18"/>
                <w:szCs w:val="18"/>
                <w:lang w:eastAsia="en-US"/>
              </w:rPr>
              <w:t xml:space="preserve"> (</w:t>
            </w:r>
            <w:proofErr w:type="spellStart"/>
            <w:r w:rsidR="176A80B7" w:rsidRPr="2E26A9A3">
              <w:rPr>
                <w:rFonts w:ascii="Titillium" w:eastAsia="Titillium" w:hAnsi="Titillium" w:cs="Titillium"/>
                <w:color w:val="auto"/>
                <w:sz w:val="18"/>
                <w:szCs w:val="18"/>
                <w:lang w:eastAsia="en-US"/>
              </w:rPr>
              <w:t>trainings</w:t>
            </w:r>
            <w:proofErr w:type="spellEnd"/>
            <w:r w:rsidR="176A80B7" w:rsidRPr="2E26A9A3">
              <w:rPr>
                <w:rFonts w:ascii="Titillium" w:eastAsia="Titillium" w:hAnsi="Titillium" w:cs="Titillium"/>
                <w:color w:val="auto"/>
                <w:sz w:val="18"/>
                <w:szCs w:val="18"/>
                <w:lang w:eastAsia="en-US"/>
              </w:rPr>
              <w:t>)</w:t>
            </w:r>
          </w:p>
        </w:tc>
      </w:tr>
      <w:tr w:rsidR="00423AF0" w14:paraId="2F530A1B" w14:textId="77777777" w:rsidTr="2E26A9A3">
        <w:trPr>
          <w:trHeight w:val="300"/>
        </w:trPr>
        <w:tc>
          <w:tcPr>
            <w:tcW w:w="1065" w:type="dxa"/>
            <w:shd w:val="clear" w:color="auto" w:fill="002060"/>
            <w:vAlign w:val="center"/>
            <w:hideMark/>
          </w:tcPr>
          <w:p w14:paraId="37DA674A" w14:textId="77777777" w:rsidR="00423AF0" w:rsidRDefault="00423AF0" w:rsidP="003379AC">
            <w:pPr>
              <w:jc w:val="both"/>
              <w:rPr>
                <w:rFonts w:ascii="Titillium" w:eastAsia="Titillium" w:hAnsi="Titillium" w:cs="Titillium"/>
                <w:b/>
                <w:bCs/>
                <w:color w:val="FFFFFF" w:themeColor="background1"/>
                <w:sz w:val="18"/>
                <w:szCs w:val="18"/>
              </w:rPr>
            </w:pPr>
          </w:p>
        </w:tc>
        <w:tc>
          <w:tcPr>
            <w:tcW w:w="3540" w:type="dxa"/>
            <w:shd w:val="clear" w:color="auto" w:fill="002060"/>
            <w:vAlign w:val="center"/>
            <w:hideMark/>
          </w:tcPr>
          <w:p w14:paraId="50B94877" w14:textId="77777777" w:rsidR="00423AF0" w:rsidRDefault="00423AF0" w:rsidP="003379AC">
            <w:pPr>
              <w:rPr>
                <w:rFonts w:ascii="Titillium" w:eastAsia="Titillium" w:hAnsi="Titillium" w:cs="Titillium"/>
                <w:color w:val="FFFFFF" w:themeColor="background1"/>
                <w:sz w:val="18"/>
                <w:szCs w:val="18"/>
              </w:rPr>
            </w:pPr>
          </w:p>
        </w:tc>
        <w:tc>
          <w:tcPr>
            <w:tcW w:w="2550" w:type="dxa"/>
            <w:shd w:val="clear" w:color="auto" w:fill="002060"/>
            <w:vAlign w:val="center"/>
          </w:tcPr>
          <w:p w14:paraId="6F1DDB1D" w14:textId="77777777" w:rsidR="00423AF0" w:rsidRDefault="00423AF0" w:rsidP="003379AC">
            <w:pPr>
              <w:jc w:val="center"/>
              <w:rPr>
                <w:rFonts w:ascii="Titillium" w:eastAsia="Titillium" w:hAnsi="Titillium" w:cs="Titillium"/>
                <w:b/>
                <w:bCs/>
                <w:color w:val="FFFFFF" w:themeColor="background1"/>
                <w:sz w:val="16"/>
                <w:szCs w:val="16"/>
              </w:rPr>
            </w:pPr>
          </w:p>
        </w:tc>
        <w:tc>
          <w:tcPr>
            <w:tcW w:w="2348" w:type="dxa"/>
            <w:shd w:val="clear" w:color="auto" w:fill="002060"/>
            <w:vAlign w:val="center"/>
          </w:tcPr>
          <w:p w14:paraId="676BD83A" w14:textId="77777777" w:rsidR="00423AF0" w:rsidRDefault="00423AF0" w:rsidP="003379AC">
            <w:pPr>
              <w:jc w:val="center"/>
              <w:rPr>
                <w:rFonts w:ascii="Titillium" w:eastAsia="Titillium" w:hAnsi="Titillium" w:cs="Titillium"/>
                <w:b/>
                <w:bCs/>
                <w:color w:val="FFFFFF" w:themeColor="background1"/>
                <w:sz w:val="16"/>
                <w:szCs w:val="16"/>
              </w:rPr>
            </w:pPr>
          </w:p>
        </w:tc>
      </w:tr>
      <w:tr w:rsidR="00423AF0" w:rsidRPr="005F6401" w14:paraId="45062A36" w14:textId="77777777" w:rsidTr="2E26A9A3">
        <w:trPr>
          <w:trHeight w:val="300"/>
        </w:trPr>
        <w:tc>
          <w:tcPr>
            <w:tcW w:w="1065" w:type="dxa"/>
            <w:vAlign w:val="center"/>
            <w:hideMark/>
          </w:tcPr>
          <w:p w14:paraId="1FB769E7" w14:textId="77777777" w:rsidR="00423AF0" w:rsidRDefault="00423AF0" w:rsidP="003379AC">
            <w:pPr>
              <w:jc w:val="center"/>
              <w:rPr>
                <w:rFonts w:ascii="Titillium" w:eastAsia="Titillium" w:hAnsi="Titillium" w:cs="Titillium"/>
                <w:sz w:val="18"/>
                <w:szCs w:val="18"/>
              </w:rPr>
            </w:pPr>
            <w:r w:rsidRPr="77010471">
              <w:rPr>
                <w:rFonts w:ascii="Titillium" w:eastAsia="Titillium" w:hAnsi="Titillium" w:cs="Titillium"/>
                <w:color w:val="auto"/>
                <w:sz w:val="18"/>
                <w:szCs w:val="18"/>
                <w:lang w:eastAsia="en-US"/>
              </w:rPr>
              <w:t>EITECO02</w:t>
            </w:r>
          </w:p>
        </w:tc>
        <w:tc>
          <w:tcPr>
            <w:tcW w:w="3540" w:type="dxa"/>
            <w:vAlign w:val="center"/>
            <w:hideMark/>
          </w:tcPr>
          <w:p w14:paraId="5A669051" w14:textId="77777777" w:rsidR="00423AF0" w:rsidRPr="00423AF0" w:rsidRDefault="00423AF0" w:rsidP="003379AC">
            <w:pPr>
              <w:rPr>
                <w:rFonts w:ascii="Titillium" w:eastAsia="Titillium" w:hAnsi="Titillium" w:cs="Titillium"/>
                <w:sz w:val="18"/>
                <w:szCs w:val="18"/>
                <w:lang w:val="en-GB"/>
              </w:rPr>
            </w:pPr>
            <w:r w:rsidRPr="00423AF0">
              <w:rPr>
                <w:rFonts w:ascii="Titillium" w:eastAsia="Titillium" w:hAnsi="Titillium" w:cs="Titillium"/>
                <w:sz w:val="18"/>
                <w:szCs w:val="18"/>
                <w:lang w:val="en-GB"/>
              </w:rPr>
              <w:t>Applicants eligible supported/referred by the ECO to the KIC's innovation, education, business creation call</w:t>
            </w:r>
          </w:p>
        </w:tc>
        <w:tc>
          <w:tcPr>
            <w:tcW w:w="2550" w:type="dxa"/>
            <w:vAlign w:val="center"/>
          </w:tcPr>
          <w:p w14:paraId="4F363158" w14:textId="61E4229B" w:rsidR="00423AF0" w:rsidRDefault="00423AF0" w:rsidP="003379AC">
            <w:pPr>
              <w:jc w:val="center"/>
              <w:rPr>
                <w:rFonts w:ascii="Titillium" w:eastAsia="Titillium" w:hAnsi="Titillium" w:cs="Titillium"/>
                <w:sz w:val="18"/>
                <w:szCs w:val="18"/>
              </w:rPr>
            </w:pPr>
            <w:r w:rsidRPr="2E26A9A3">
              <w:rPr>
                <w:rFonts w:ascii="Titillium" w:eastAsia="Titillium" w:hAnsi="Titillium" w:cs="Titillium"/>
                <w:sz w:val="18"/>
                <w:szCs w:val="18"/>
              </w:rPr>
              <w:t xml:space="preserve">5 </w:t>
            </w:r>
            <w:proofErr w:type="spellStart"/>
            <w:r w:rsidRPr="2E26A9A3">
              <w:rPr>
                <w:rFonts w:ascii="Titillium" w:eastAsia="Titillium" w:hAnsi="Titillium" w:cs="Titillium"/>
                <w:sz w:val="18"/>
                <w:szCs w:val="18"/>
              </w:rPr>
              <w:t>applicants</w:t>
            </w:r>
            <w:proofErr w:type="spellEnd"/>
            <w:r w:rsidR="2365AC36" w:rsidRPr="2E26A9A3">
              <w:rPr>
                <w:rFonts w:ascii="Titillium" w:eastAsia="Titillium" w:hAnsi="Titillium" w:cs="Titillium"/>
                <w:sz w:val="18"/>
                <w:szCs w:val="18"/>
              </w:rPr>
              <w:t xml:space="preserve"> (</w:t>
            </w:r>
            <w:r w:rsidR="73571542" w:rsidRPr="2E26A9A3">
              <w:rPr>
                <w:rFonts w:ascii="Titillium" w:eastAsia="Titillium" w:hAnsi="Titillium" w:cs="Titillium"/>
                <w:sz w:val="18"/>
                <w:szCs w:val="18"/>
              </w:rPr>
              <w:t>programmes</w:t>
            </w:r>
            <w:r w:rsidR="2365AC36" w:rsidRPr="2E26A9A3">
              <w:rPr>
                <w:rFonts w:ascii="Titillium" w:eastAsia="Titillium" w:hAnsi="Titillium" w:cs="Titillium"/>
                <w:sz w:val="18"/>
                <w:szCs w:val="18"/>
              </w:rPr>
              <w:t xml:space="preserve">) </w:t>
            </w:r>
            <w:proofErr w:type="spellStart"/>
            <w:r w:rsidR="2365AC36" w:rsidRPr="2E26A9A3">
              <w:rPr>
                <w:rFonts w:ascii="Titillium" w:eastAsia="Titillium" w:hAnsi="Titillium" w:cs="Titillium"/>
                <w:sz w:val="18"/>
                <w:szCs w:val="18"/>
              </w:rPr>
              <w:t>or</w:t>
            </w:r>
            <w:proofErr w:type="spellEnd"/>
            <w:r w:rsidR="2365AC36" w:rsidRPr="2E26A9A3">
              <w:rPr>
                <w:rFonts w:ascii="Titillium" w:eastAsia="Titillium" w:hAnsi="Titillium" w:cs="Titillium"/>
                <w:sz w:val="18"/>
                <w:szCs w:val="18"/>
              </w:rPr>
              <w:t xml:space="preserve"> </w:t>
            </w:r>
            <w:proofErr w:type="spellStart"/>
            <w:r w:rsidR="2365AC36" w:rsidRPr="2E26A9A3">
              <w:rPr>
                <w:rFonts w:ascii="Titillium" w:eastAsia="Titillium" w:hAnsi="Titillium" w:cs="Titillium"/>
                <w:sz w:val="18"/>
                <w:szCs w:val="18"/>
              </w:rPr>
              <w:t>p</w:t>
            </w:r>
            <w:r w:rsidR="2365AC36" w:rsidRPr="2E26A9A3">
              <w:rPr>
                <w:rFonts w:ascii="Titillium" w:eastAsia="Titillium" w:hAnsi="Titillium" w:cs="Titillium"/>
                <w:color w:val="auto"/>
                <w:sz w:val="18"/>
                <w:szCs w:val="18"/>
                <w:lang w:eastAsia="en-US"/>
              </w:rPr>
              <w:t>articipants</w:t>
            </w:r>
            <w:proofErr w:type="spellEnd"/>
            <w:r w:rsidR="2365AC36" w:rsidRPr="2E26A9A3">
              <w:rPr>
                <w:rFonts w:ascii="Titillium" w:eastAsia="Titillium" w:hAnsi="Titillium" w:cs="Titillium"/>
                <w:color w:val="auto"/>
                <w:sz w:val="18"/>
                <w:szCs w:val="18"/>
                <w:lang w:eastAsia="en-US"/>
              </w:rPr>
              <w:t xml:space="preserve"> (</w:t>
            </w:r>
            <w:proofErr w:type="spellStart"/>
            <w:r w:rsidR="2365AC36" w:rsidRPr="2E26A9A3">
              <w:rPr>
                <w:rFonts w:ascii="Titillium" w:eastAsia="Titillium" w:hAnsi="Titillium" w:cs="Titillium"/>
                <w:color w:val="auto"/>
                <w:sz w:val="18"/>
                <w:szCs w:val="18"/>
                <w:lang w:eastAsia="en-US"/>
              </w:rPr>
              <w:t>trainings</w:t>
            </w:r>
            <w:proofErr w:type="spellEnd"/>
            <w:r w:rsidR="2365AC36" w:rsidRPr="2E26A9A3">
              <w:rPr>
                <w:rFonts w:ascii="Titillium" w:eastAsia="Titillium" w:hAnsi="Titillium" w:cs="Titillium"/>
                <w:color w:val="auto"/>
                <w:sz w:val="18"/>
                <w:szCs w:val="18"/>
                <w:lang w:eastAsia="en-US"/>
              </w:rPr>
              <w:t>)</w:t>
            </w:r>
          </w:p>
        </w:tc>
        <w:tc>
          <w:tcPr>
            <w:tcW w:w="2348" w:type="dxa"/>
            <w:vAlign w:val="center"/>
          </w:tcPr>
          <w:p w14:paraId="1420AFD5" w14:textId="4B029038" w:rsidR="00423AF0" w:rsidRDefault="00423AF0" w:rsidP="003379AC">
            <w:pPr>
              <w:jc w:val="center"/>
              <w:rPr>
                <w:rFonts w:ascii="Titillium" w:eastAsia="Titillium" w:hAnsi="Titillium" w:cs="Titillium"/>
                <w:sz w:val="18"/>
                <w:szCs w:val="18"/>
              </w:rPr>
            </w:pPr>
            <w:r w:rsidRPr="2E26A9A3">
              <w:rPr>
                <w:rFonts w:ascii="Titillium" w:eastAsia="Titillium" w:hAnsi="Titillium" w:cs="Titillium"/>
                <w:sz w:val="18"/>
                <w:szCs w:val="18"/>
              </w:rPr>
              <w:t xml:space="preserve">10 </w:t>
            </w:r>
            <w:proofErr w:type="spellStart"/>
            <w:r w:rsidRPr="2E26A9A3">
              <w:rPr>
                <w:rFonts w:ascii="Titillium" w:eastAsia="Titillium" w:hAnsi="Titillium" w:cs="Titillium"/>
                <w:sz w:val="18"/>
                <w:szCs w:val="18"/>
              </w:rPr>
              <w:t>applicants</w:t>
            </w:r>
            <w:proofErr w:type="spellEnd"/>
            <w:r w:rsidR="47C5BD06" w:rsidRPr="2E26A9A3">
              <w:rPr>
                <w:rFonts w:ascii="Titillium" w:eastAsia="Titillium" w:hAnsi="Titillium" w:cs="Titillium"/>
                <w:sz w:val="18"/>
                <w:szCs w:val="18"/>
              </w:rPr>
              <w:t xml:space="preserve"> (</w:t>
            </w:r>
            <w:r w:rsidR="548530BD" w:rsidRPr="2E26A9A3">
              <w:rPr>
                <w:rFonts w:ascii="Titillium" w:eastAsia="Titillium" w:hAnsi="Titillium" w:cs="Titillium"/>
                <w:sz w:val="18"/>
                <w:szCs w:val="18"/>
              </w:rPr>
              <w:t>programmes</w:t>
            </w:r>
            <w:r w:rsidR="47C5BD06" w:rsidRPr="2E26A9A3">
              <w:rPr>
                <w:rFonts w:ascii="Titillium" w:eastAsia="Titillium" w:hAnsi="Titillium" w:cs="Titillium"/>
                <w:sz w:val="18"/>
                <w:szCs w:val="18"/>
              </w:rPr>
              <w:t xml:space="preserve">) </w:t>
            </w:r>
            <w:proofErr w:type="spellStart"/>
            <w:r w:rsidR="47C5BD06" w:rsidRPr="2E26A9A3">
              <w:rPr>
                <w:rFonts w:ascii="Titillium" w:eastAsia="Titillium" w:hAnsi="Titillium" w:cs="Titillium"/>
                <w:sz w:val="18"/>
                <w:szCs w:val="18"/>
              </w:rPr>
              <w:t>or</w:t>
            </w:r>
            <w:proofErr w:type="spellEnd"/>
            <w:r w:rsidR="47C5BD06" w:rsidRPr="2E26A9A3">
              <w:rPr>
                <w:rFonts w:ascii="Titillium" w:eastAsia="Titillium" w:hAnsi="Titillium" w:cs="Titillium"/>
                <w:sz w:val="18"/>
                <w:szCs w:val="18"/>
              </w:rPr>
              <w:t xml:space="preserve"> </w:t>
            </w:r>
            <w:proofErr w:type="spellStart"/>
            <w:r w:rsidR="47C5BD06" w:rsidRPr="2E26A9A3">
              <w:rPr>
                <w:rFonts w:ascii="Titillium" w:eastAsia="Titillium" w:hAnsi="Titillium" w:cs="Titillium"/>
                <w:sz w:val="18"/>
                <w:szCs w:val="18"/>
              </w:rPr>
              <w:t>p</w:t>
            </w:r>
            <w:r w:rsidR="47C5BD06" w:rsidRPr="2E26A9A3">
              <w:rPr>
                <w:rFonts w:ascii="Titillium" w:eastAsia="Titillium" w:hAnsi="Titillium" w:cs="Titillium"/>
                <w:color w:val="auto"/>
                <w:sz w:val="18"/>
                <w:szCs w:val="18"/>
                <w:lang w:eastAsia="en-US"/>
              </w:rPr>
              <w:t>articipants</w:t>
            </w:r>
            <w:proofErr w:type="spellEnd"/>
            <w:r w:rsidR="47C5BD06" w:rsidRPr="2E26A9A3">
              <w:rPr>
                <w:rFonts w:ascii="Titillium" w:eastAsia="Titillium" w:hAnsi="Titillium" w:cs="Titillium"/>
                <w:color w:val="auto"/>
                <w:sz w:val="18"/>
                <w:szCs w:val="18"/>
                <w:lang w:eastAsia="en-US"/>
              </w:rPr>
              <w:t xml:space="preserve"> (</w:t>
            </w:r>
            <w:proofErr w:type="spellStart"/>
            <w:r w:rsidR="47C5BD06" w:rsidRPr="2E26A9A3">
              <w:rPr>
                <w:rFonts w:ascii="Titillium" w:eastAsia="Titillium" w:hAnsi="Titillium" w:cs="Titillium"/>
                <w:color w:val="auto"/>
                <w:sz w:val="18"/>
                <w:szCs w:val="18"/>
                <w:lang w:eastAsia="en-US"/>
              </w:rPr>
              <w:t>trainings</w:t>
            </w:r>
            <w:proofErr w:type="spellEnd"/>
            <w:r w:rsidR="47C5BD06" w:rsidRPr="2E26A9A3">
              <w:rPr>
                <w:rFonts w:ascii="Titillium" w:eastAsia="Titillium" w:hAnsi="Titillium" w:cs="Titillium"/>
                <w:color w:val="auto"/>
                <w:sz w:val="18"/>
                <w:szCs w:val="18"/>
                <w:lang w:eastAsia="en-US"/>
              </w:rPr>
              <w:t>)</w:t>
            </w:r>
          </w:p>
        </w:tc>
      </w:tr>
      <w:tr w:rsidR="00423AF0" w14:paraId="75D0484A" w14:textId="77777777" w:rsidTr="2E26A9A3">
        <w:trPr>
          <w:trHeight w:val="300"/>
        </w:trPr>
        <w:tc>
          <w:tcPr>
            <w:tcW w:w="1065" w:type="dxa"/>
            <w:shd w:val="clear" w:color="auto" w:fill="002060"/>
            <w:vAlign w:val="center"/>
            <w:hideMark/>
          </w:tcPr>
          <w:p w14:paraId="188E3D6D" w14:textId="77777777" w:rsidR="00423AF0" w:rsidRDefault="00423AF0" w:rsidP="003379AC">
            <w:pPr>
              <w:jc w:val="both"/>
              <w:rPr>
                <w:rFonts w:ascii="Titillium" w:eastAsia="Titillium" w:hAnsi="Titillium" w:cs="Titillium"/>
                <w:b/>
                <w:bCs/>
                <w:color w:val="FFFFFF" w:themeColor="background1"/>
                <w:sz w:val="18"/>
                <w:szCs w:val="18"/>
              </w:rPr>
            </w:pPr>
          </w:p>
        </w:tc>
        <w:tc>
          <w:tcPr>
            <w:tcW w:w="3540" w:type="dxa"/>
            <w:shd w:val="clear" w:color="auto" w:fill="002060"/>
            <w:vAlign w:val="center"/>
            <w:hideMark/>
          </w:tcPr>
          <w:p w14:paraId="23D72FFA" w14:textId="77777777" w:rsidR="00423AF0" w:rsidRDefault="00423AF0" w:rsidP="003379AC">
            <w:pPr>
              <w:rPr>
                <w:rFonts w:ascii="Titillium" w:eastAsia="Titillium" w:hAnsi="Titillium" w:cs="Titillium"/>
                <w:sz w:val="18"/>
                <w:szCs w:val="18"/>
              </w:rPr>
            </w:pPr>
          </w:p>
        </w:tc>
        <w:tc>
          <w:tcPr>
            <w:tcW w:w="2550" w:type="dxa"/>
            <w:shd w:val="clear" w:color="auto" w:fill="002060"/>
            <w:vAlign w:val="center"/>
          </w:tcPr>
          <w:p w14:paraId="11585833" w14:textId="77777777" w:rsidR="00423AF0" w:rsidRDefault="00423AF0" w:rsidP="003379AC">
            <w:pPr>
              <w:jc w:val="center"/>
              <w:rPr>
                <w:rFonts w:ascii="Titillium" w:eastAsia="Titillium" w:hAnsi="Titillium" w:cs="Titillium"/>
                <w:b/>
                <w:bCs/>
                <w:color w:val="FFFFFF" w:themeColor="background1"/>
                <w:sz w:val="16"/>
                <w:szCs w:val="16"/>
              </w:rPr>
            </w:pPr>
          </w:p>
        </w:tc>
        <w:tc>
          <w:tcPr>
            <w:tcW w:w="2348" w:type="dxa"/>
            <w:shd w:val="clear" w:color="auto" w:fill="002060"/>
            <w:vAlign w:val="center"/>
          </w:tcPr>
          <w:p w14:paraId="053C4FDB" w14:textId="77777777" w:rsidR="00423AF0" w:rsidRDefault="00423AF0" w:rsidP="003379AC">
            <w:pPr>
              <w:jc w:val="center"/>
              <w:rPr>
                <w:rFonts w:ascii="Titillium" w:eastAsia="Titillium" w:hAnsi="Titillium" w:cs="Titillium"/>
                <w:b/>
                <w:bCs/>
                <w:color w:val="FFFFFF" w:themeColor="background1"/>
                <w:sz w:val="16"/>
                <w:szCs w:val="16"/>
              </w:rPr>
            </w:pPr>
          </w:p>
        </w:tc>
      </w:tr>
      <w:tr w:rsidR="00423AF0" w:rsidRPr="005F6401" w14:paraId="195F783D" w14:textId="77777777" w:rsidTr="2E26A9A3">
        <w:trPr>
          <w:trHeight w:val="300"/>
        </w:trPr>
        <w:tc>
          <w:tcPr>
            <w:tcW w:w="1065" w:type="dxa"/>
            <w:vAlign w:val="center"/>
            <w:hideMark/>
          </w:tcPr>
          <w:p w14:paraId="527246E0" w14:textId="77777777" w:rsidR="00423AF0" w:rsidRPr="00392313" w:rsidRDefault="00423AF0" w:rsidP="003379AC">
            <w:pPr>
              <w:jc w:val="center"/>
              <w:rPr>
                <w:rFonts w:ascii="Titillium" w:eastAsia="Titillium" w:hAnsi="Titillium" w:cs="Titillium"/>
                <w:sz w:val="18"/>
                <w:szCs w:val="18"/>
              </w:rPr>
            </w:pPr>
            <w:r w:rsidRPr="77010471">
              <w:rPr>
                <w:rFonts w:ascii="Titillium" w:eastAsia="Titillium" w:hAnsi="Titillium" w:cs="Titillium"/>
                <w:color w:val="auto"/>
                <w:sz w:val="18"/>
                <w:szCs w:val="18"/>
                <w:lang w:eastAsia="en-US"/>
              </w:rPr>
              <w:t>EITECO03</w:t>
            </w:r>
          </w:p>
        </w:tc>
        <w:tc>
          <w:tcPr>
            <w:tcW w:w="3540" w:type="dxa"/>
            <w:vAlign w:val="center"/>
            <w:hideMark/>
          </w:tcPr>
          <w:p w14:paraId="0515F34B" w14:textId="77777777" w:rsidR="00423AF0" w:rsidRPr="00423AF0" w:rsidRDefault="00423AF0" w:rsidP="003379AC">
            <w:pPr>
              <w:rPr>
                <w:rFonts w:ascii="Titillium" w:eastAsia="Titillium" w:hAnsi="Titillium" w:cs="Titillium"/>
                <w:b/>
                <w:bCs/>
                <w:color w:val="FFFFFF" w:themeColor="background1"/>
                <w:lang w:val="en-GB"/>
              </w:rPr>
            </w:pPr>
            <w:r w:rsidRPr="00423AF0">
              <w:rPr>
                <w:rFonts w:ascii="Titillium" w:eastAsia="Titillium" w:hAnsi="Titillium" w:cs="Titillium"/>
                <w:sz w:val="18"/>
                <w:szCs w:val="18"/>
                <w:lang w:val="en-GB"/>
              </w:rPr>
              <w:t>Number of leads facilitated by the ECO to contribute to the financial sustainability of the RI&amp;I Cluster</w:t>
            </w:r>
          </w:p>
        </w:tc>
        <w:tc>
          <w:tcPr>
            <w:tcW w:w="2550" w:type="dxa"/>
            <w:vAlign w:val="center"/>
          </w:tcPr>
          <w:p w14:paraId="362337A6" w14:textId="51C52D9C" w:rsidR="00423AF0" w:rsidRDefault="72BA860A" w:rsidP="003379AC">
            <w:pPr>
              <w:jc w:val="center"/>
              <w:rPr>
                <w:rFonts w:ascii="Titillium" w:eastAsia="Titillium" w:hAnsi="Titillium" w:cs="Titillium"/>
                <w:sz w:val="18"/>
                <w:szCs w:val="18"/>
              </w:rPr>
            </w:pPr>
            <w:r w:rsidRPr="2E26A9A3">
              <w:rPr>
                <w:rFonts w:ascii="Titillium" w:eastAsia="Titillium" w:hAnsi="Titillium" w:cs="Titillium"/>
                <w:sz w:val="18"/>
                <w:szCs w:val="18"/>
              </w:rPr>
              <w:t xml:space="preserve">4 </w:t>
            </w:r>
            <w:proofErr w:type="spellStart"/>
            <w:r w:rsidRPr="2E26A9A3">
              <w:rPr>
                <w:rFonts w:ascii="Titillium" w:eastAsia="Titillium" w:hAnsi="Titillium" w:cs="Titillium"/>
                <w:sz w:val="18"/>
                <w:szCs w:val="18"/>
              </w:rPr>
              <w:t>qualified</w:t>
            </w:r>
            <w:proofErr w:type="spellEnd"/>
            <w:r w:rsidR="00423AF0" w:rsidRPr="2E26A9A3">
              <w:rPr>
                <w:rFonts w:ascii="Titillium" w:eastAsia="Titillium" w:hAnsi="Titillium" w:cs="Titillium"/>
                <w:sz w:val="18"/>
                <w:szCs w:val="18"/>
              </w:rPr>
              <w:t xml:space="preserve"> </w:t>
            </w:r>
            <w:proofErr w:type="spellStart"/>
            <w:r w:rsidR="00423AF0" w:rsidRPr="2E26A9A3">
              <w:rPr>
                <w:rFonts w:ascii="Titillium" w:eastAsia="Titillium" w:hAnsi="Titillium" w:cs="Titillium"/>
                <w:sz w:val="18"/>
                <w:szCs w:val="18"/>
              </w:rPr>
              <w:t>leads</w:t>
            </w:r>
            <w:proofErr w:type="spellEnd"/>
          </w:p>
        </w:tc>
        <w:tc>
          <w:tcPr>
            <w:tcW w:w="2348" w:type="dxa"/>
            <w:vAlign w:val="center"/>
          </w:tcPr>
          <w:p w14:paraId="001AA603" w14:textId="2A7A3C85" w:rsidR="00423AF0" w:rsidRPr="005F6401" w:rsidRDefault="671DC5FC" w:rsidP="003379AC">
            <w:pPr>
              <w:jc w:val="center"/>
              <w:rPr>
                <w:rFonts w:ascii="Titillium" w:eastAsia="Titillium" w:hAnsi="Titillium" w:cs="Titillium"/>
                <w:sz w:val="18"/>
                <w:szCs w:val="18"/>
              </w:rPr>
            </w:pPr>
            <w:r w:rsidRPr="2E26A9A3">
              <w:rPr>
                <w:rFonts w:ascii="Titillium" w:eastAsia="Titillium" w:hAnsi="Titillium" w:cs="Titillium"/>
                <w:sz w:val="18"/>
                <w:szCs w:val="18"/>
              </w:rPr>
              <w:t xml:space="preserve">6 </w:t>
            </w:r>
            <w:r w:rsidR="00423AF0" w:rsidRPr="2E26A9A3">
              <w:rPr>
                <w:rFonts w:ascii="Titillium" w:eastAsia="Titillium" w:hAnsi="Titillium" w:cs="Titillium"/>
                <w:sz w:val="18"/>
                <w:szCs w:val="18"/>
              </w:rPr>
              <w:t>l</w:t>
            </w:r>
            <w:r w:rsidR="18CA7A96" w:rsidRPr="2E26A9A3">
              <w:rPr>
                <w:rFonts w:ascii="Titillium" w:eastAsia="Titillium" w:hAnsi="Titillium" w:cs="Titillium"/>
                <w:sz w:val="18"/>
                <w:szCs w:val="18"/>
              </w:rPr>
              <w:t xml:space="preserve"> </w:t>
            </w:r>
            <w:proofErr w:type="spellStart"/>
            <w:r w:rsidR="18CA7A96" w:rsidRPr="2E26A9A3">
              <w:rPr>
                <w:rFonts w:ascii="Titillium" w:eastAsia="Titillium" w:hAnsi="Titillium" w:cs="Titillium"/>
                <w:sz w:val="18"/>
                <w:szCs w:val="18"/>
              </w:rPr>
              <w:t>qualified</w:t>
            </w:r>
            <w:proofErr w:type="spellEnd"/>
            <w:r w:rsidR="18CA7A96" w:rsidRPr="2E26A9A3">
              <w:rPr>
                <w:rFonts w:ascii="Titillium" w:eastAsia="Titillium" w:hAnsi="Titillium" w:cs="Titillium"/>
                <w:sz w:val="18"/>
                <w:szCs w:val="18"/>
              </w:rPr>
              <w:t xml:space="preserve"> </w:t>
            </w:r>
            <w:proofErr w:type="spellStart"/>
            <w:r w:rsidR="00423AF0" w:rsidRPr="2E26A9A3">
              <w:rPr>
                <w:rFonts w:ascii="Titillium" w:eastAsia="Titillium" w:hAnsi="Titillium" w:cs="Titillium"/>
                <w:sz w:val="18"/>
                <w:szCs w:val="18"/>
              </w:rPr>
              <w:t>eads</w:t>
            </w:r>
            <w:proofErr w:type="spellEnd"/>
          </w:p>
        </w:tc>
      </w:tr>
      <w:tr w:rsidR="00423AF0" w14:paraId="3DB7410D" w14:textId="77777777" w:rsidTr="2E26A9A3">
        <w:trPr>
          <w:trHeight w:val="300"/>
        </w:trPr>
        <w:tc>
          <w:tcPr>
            <w:tcW w:w="1065" w:type="dxa"/>
            <w:shd w:val="clear" w:color="auto" w:fill="002060"/>
            <w:vAlign w:val="center"/>
            <w:hideMark/>
          </w:tcPr>
          <w:p w14:paraId="7E948A02" w14:textId="77777777" w:rsidR="00423AF0" w:rsidRDefault="00423AF0" w:rsidP="003379AC">
            <w:pPr>
              <w:jc w:val="both"/>
              <w:rPr>
                <w:rFonts w:ascii="Titillium" w:eastAsia="Titillium" w:hAnsi="Titillium" w:cs="Titillium"/>
                <w:b/>
                <w:bCs/>
                <w:color w:val="FFFFFF" w:themeColor="background1"/>
                <w:sz w:val="18"/>
                <w:szCs w:val="18"/>
              </w:rPr>
            </w:pPr>
          </w:p>
        </w:tc>
        <w:tc>
          <w:tcPr>
            <w:tcW w:w="3540" w:type="dxa"/>
            <w:shd w:val="clear" w:color="auto" w:fill="002060"/>
            <w:vAlign w:val="center"/>
            <w:hideMark/>
          </w:tcPr>
          <w:p w14:paraId="237F72BC" w14:textId="77777777" w:rsidR="00423AF0" w:rsidRDefault="00423AF0" w:rsidP="003379AC">
            <w:pPr>
              <w:rPr>
                <w:rFonts w:ascii="Titillium" w:eastAsia="Titillium" w:hAnsi="Titillium" w:cs="Titillium"/>
                <w:sz w:val="18"/>
                <w:szCs w:val="18"/>
              </w:rPr>
            </w:pPr>
          </w:p>
        </w:tc>
        <w:tc>
          <w:tcPr>
            <w:tcW w:w="2550" w:type="dxa"/>
            <w:shd w:val="clear" w:color="auto" w:fill="002060"/>
            <w:vAlign w:val="center"/>
          </w:tcPr>
          <w:p w14:paraId="6B6153A9" w14:textId="77777777" w:rsidR="00423AF0" w:rsidRDefault="00423AF0" w:rsidP="003379AC">
            <w:pPr>
              <w:jc w:val="center"/>
              <w:rPr>
                <w:rFonts w:ascii="Titillium" w:eastAsia="Titillium" w:hAnsi="Titillium" w:cs="Titillium"/>
                <w:b/>
                <w:bCs/>
                <w:color w:val="FFFFFF" w:themeColor="background1"/>
                <w:sz w:val="16"/>
                <w:szCs w:val="16"/>
              </w:rPr>
            </w:pPr>
          </w:p>
        </w:tc>
        <w:tc>
          <w:tcPr>
            <w:tcW w:w="2348" w:type="dxa"/>
            <w:shd w:val="clear" w:color="auto" w:fill="002060"/>
            <w:vAlign w:val="center"/>
          </w:tcPr>
          <w:p w14:paraId="0FD37189" w14:textId="77777777" w:rsidR="00423AF0" w:rsidRDefault="00423AF0" w:rsidP="003379AC">
            <w:pPr>
              <w:jc w:val="center"/>
              <w:rPr>
                <w:rFonts w:ascii="Titillium" w:eastAsia="Titillium" w:hAnsi="Titillium" w:cs="Titillium"/>
                <w:b/>
                <w:bCs/>
                <w:color w:val="FFFFFF" w:themeColor="background1"/>
                <w:sz w:val="16"/>
                <w:szCs w:val="16"/>
              </w:rPr>
            </w:pPr>
          </w:p>
        </w:tc>
      </w:tr>
      <w:tr w:rsidR="00423AF0" w14:paraId="0C910464" w14:textId="77777777" w:rsidTr="2E26A9A3">
        <w:trPr>
          <w:trHeight w:val="300"/>
        </w:trPr>
        <w:tc>
          <w:tcPr>
            <w:tcW w:w="1065" w:type="dxa"/>
            <w:vAlign w:val="center"/>
            <w:hideMark/>
          </w:tcPr>
          <w:p w14:paraId="3A4776F9" w14:textId="77777777" w:rsidR="00423AF0" w:rsidRDefault="00423AF0" w:rsidP="003379AC">
            <w:pPr>
              <w:jc w:val="center"/>
              <w:rPr>
                <w:rFonts w:ascii="Titillium" w:eastAsia="Titillium" w:hAnsi="Titillium" w:cs="Titillium"/>
                <w:sz w:val="18"/>
                <w:szCs w:val="18"/>
              </w:rPr>
            </w:pPr>
            <w:r w:rsidRPr="77010471">
              <w:rPr>
                <w:rFonts w:ascii="Titillium" w:eastAsia="Titillium" w:hAnsi="Titillium" w:cs="Titillium"/>
                <w:color w:val="auto"/>
                <w:sz w:val="18"/>
                <w:szCs w:val="18"/>
                <w:lang w:eastAsia="en-US"/>
              </w:rPr>
              <w:lastRenderedPageBreak/>
              <w:t>EITECO04</w:t>
            </w:r>
          </w:p>
        </w:tc>
        <w:tc>
          <w:tcPr>
            <w:tcW w:w="3540" w:type="dxa"/>
            <w:vAlign w:val="center"/>
            <w:hideMark/>
          </w:tcPr>
          <w:p w14:paraId="62AC13D5" w14:textId="77777777" w:rsidR="00423AF0" w:rsidRPr="00423AF0" w:rsidRDefault="00423AF0" w:rsidP="003379AC">
            <w:pPr>
              <w:rPr>
                <w:rFonts w:ascii="Titillium" w:eastAsia="Titillium" w:hAnsi="Titillium" w:cs="Titillium"/>
                <w:sz w:val="18"/>
                <w:szCs w:val="18"/>
                <w:lang w:val="en-GB"/>
              </w:rPr>
            </w:pPr>
            <w:r w:rsidRPr="00423AF0">
              <w:rPr>
                <w:rFonts w:ascii="Titillium" w:eastAsia="Titillium" w:hAnsi="Titillium" w:cs="Titillium"/>
                <w:sz w:val="18"/>
                <w:szCs w:val="18"/>
                <w:lang w:val="en-GB"/>
              </w:rPr>
              <w:t>Number of leads facilitated by the ECO to contribute to the financial sustainability of the KIC</w:t>
            </w:r>
          </w:p>
        </w:tc>
        <w:tc>
          <w:tcPr>
            <w:tcW w:w="2550" w:type="dxa"/>
            <w:vAlign w:val="center"/>
          </w:tcPr>
          <w:p w14:paraId="7E81C95D" w14:textId="2F86F81A" w:rsidR="00423AF0" w:rsidRDefault="4BB66B11" w:rsidP="003379AC">
            <w:pPr>
              <w:jc w:val="center"/>
              <w:rPr>
                <w:rFonts w:ascii="Titillium" w:eastAsia="Titillium" w:hAnsi="Titillium" w:cs="Titillium"/>
                <w:sz w:val="18"/>
                <w:szCs w:val="18"/>
              </w:rPr>
            </w:pPr>
            <w:r w:rsidRPr="2E26A9A3">
              <w:rPr>
                <w:rFonts w:ascii="Titillium" w:eastAsia="Titillium" w:hAnsi="Titillium" w:cs="Titillium"/>
                <w:sz w:val="18"/>
                <w:szCs w:val="18"/>
              </w:rPr>
              <w:t xml:space="preserve">4 </w:t>
            </w:r>
            <w:proofErr w:type="spellStart"/>
            <w:r w:rsidRPr="2E26A9A3">
              <w:rPr>
                <w:rFonts w:ascii="Titillium" w:eastAsia="Titillium" w:hAnsi="Titillium" w:cs="Titillium"/>
                <w:sz w:val="18"/>
                <w:szCs w:val="18"/>
              </w:rPr>
              <w:t>qualified</w:t>
            </w:r>
            <w:proofErr w:type="spellEnd"/>
            <w:r w:rsidR="00423AF0" w:rsidRPr="2E26A9A3">
              <w:rPr>
                <w:rFonts w:ascii="Titillium" w:eastAsia="Titillium" w:hAnsi="Titillium" w:cs="Titillium"/>
                <w:sz w:val="18"/>
                <w:szCs w:val="18"/>
              </w:rPr>
              <w:t xml:space="preserve"> </w:t>
            </w:r>
            <w:proofErr w:type="spellStart"/>
            <w:r w:rsidR="00423AF0" w:rsidRPr="2E26A9A3">
              <w:rPr>
                <w:rFonts w:ascii="Titillium" w:eastAsia="Titillium" w:hAnsi="Titillium" w:cs="Titillium"/>
                <w:sz w:val="18"/>
                <w:szCs w:val="18"/>
              </w:rPr>
              <w:t>leads</w:t>
            </w:r>
            <w:proofErr w:type="spellEnd"/>
          </w:p>
        </w:tc>
        <w:tc>
          <w:tcPr>
            <w:tcW w:w="2348" w:type="dxa"/>
            <w:vAlign w:val="center"/>
          </w:tcPr>
          <w:p w14:paraId="5416DFB5" w14:textId="0FF47E2C" w:rsidR="00423AF0" w:rsidRDefault="6B5AC9A0" w:rsidP="003379AC">
            <w:pPr>
              <w:jc w:val="center"/>
              <w:rPr>
                <w:rFonts w:ascii="Titillium" w:eastAsia="Titillium" w:hAnsi="Titillium" w:cs="Titillium"/>
                <w:sz w:val="18"/>
                <w:szCs w:val="18"/>
              </w:rPr>
            </w:pPr>
            <w:r w:rsidRPr="2E26A9A3">
              <w:rPr>
                <w:rFonts w:ascii="Titillium" w:eastAsia="Titillium" w:hAnsi="Titillium" w:cs="Titillium"/>
                <w:sz w:val="18"/>
                <w:szCs w:val="18"/>
              </w:rPr>
              <w:t xml:space="preserve">6 </w:t>
            </w:r>
            <w:proofErr w:type="spellStart"/>
            <w:r w:rsidRPr="2E26A9A3">
              <w:rPr>
                <w:rFonts w:ascii="Titillium" w:eastAsia="Titillium" w:hAnsi="Titillium" w:cs="Titillium"/>
                <w:sz w:val="18"/>
                <w:szCs w:val="18"/>
              </w:rPr>
              <w:t>qualified</w:t>
            </w:r>
            <w:proofErr w:type="spellEnd"/>
            <w:r w:rsidRPr="2E26A9A3">
              <w:rPr>
                <w:rFonts w:ascii="Titillium" w:eastAsia="Titillium" w:hAnsi="Titillium" w:cs="Titillium"/>
                <w:sz w:val="18"/>
                <w:szCs w:val="18"/>
              </w:rPr>
              <w:t xml:space="preserve"> </w:t>
            </w:r>
            <w:proofErr w:type="spellStart"/>
            <w:r w:rsidR="00423AF0" w:rsidRPr="2E26A9A3">
              <w:rPr>
                <w:rFonts w:ascii="Titillium" w:eastAsia="Titillium" w:hAnsi="Titillium" w:cs="Titillium"/>
                <w:sz w:val="18"/>
                <w:szCs w:val="18"/>
              </w:rPr>
              <w:t>leads</w:t>
            </w:r>
            <w:proofErr w:type="spellEnd"/>
          </w:p>
        </w:tc>
      </w:tr>
      <w:tr w:rsidR="00423AF0" w14:paraId="29F09BFF" w14:textId="77777777" w:rsidTr="2E26A9A3">
        <w:trPr>
          <w:trHeight w:val="300"/>
        </w:trPr>
        <w:tc>
          <w:tcPr>
            <w:tcW w:w="1065" w:type="dxa"/>
            <w:shd w:val="clear" w:color="auto" w:fill="002060"/>
            <w:vAlign w:val="center"/>
            <w:hideMark/>
          </w:tcPr>
          <w:p w14:paraId="32621771" w14:textId="77777777" w:rsidR="00423AF0" w:rsidRDefault="00423AF0" w:rsidP="003379AC">
            <w:pPr>
              <w:jc w:val="both"/>
              <w:rPr>
                <w:rFonts w:ascii="Titillium" w:eastAsia="Titillium" w:hAnsi="Titillium" w:cs="Titillium"/>
                <w:b/>
                <w:bCs/>
                <w:color w:val="FFFFFF" w:themeColor="background1"/>
                <w:sz w:val="18"/>
                <w:szCs w:val="18"/>
              </w:rPr>
            </w:pPr>
          </w:p>
        </w:tc>
        <w:tc>
          <w:tcPr>
            <w:tcW w:w="3540" w:type="dxa"/>
            <w:shd w:val="clear" w:color="auto" w:fill="002060"/>
            <w:vAlign w:val="center"/>
            <w:hideMark/>
          </w:tcPr>
          <w:p w14:paraId="782A1CD8" w14:textId="77777777" w:rsidR="00423AF0" w:rsidRDefault="00423AF0" w:rsidP="003379AC">
            <w:pPr>
              <w:rPr>
                <w:rFonts w:ascii="Titillium" w:eastAsia="Titillium" w:hAnsi="Titillium" w:cs="Titillium"/>
                <w:color w:val="FFFFFF" w:themeColor="background1"/>
                <w:sz w:val="18"/>
                <w:szCs w:val="18"/>
              </w:rPr>
            </w:pPr>
          </w:p>
        </w:tc>
        <w:tc>
          <w:tcPr>
            <w:tcW w:w="2550" w:type="dxa"/>
            <w:shd w:val="clear" w:color="auto" w:fill="002060"/>
            <w:vAlign w:val="center"/>
          </w:tcPr>
          <w:p w14:paraId="02A17FA9" w14:textId="77777777" w:rsidR="00423AF0" w:rsidRDefault="00423AF0" w:rsidP="003379AC">
            <w:pPr>
              <w:jc w:val="center"/>
              <w:rPr>
                <w:rFonts w:ascii="Titillium" w:eastAsia="Titillium" w:hAnsi="Titillium" w:cs="Titillium"/>
                <w:color w:val="FFFFFF" w:themeColor="background1"/>
                <w:sz w:val="18"/>
                <w:szCs w:val="18"/>
              </w:rPr>
            </w:pPr>
          </w:p>
        </w:tc>
        <w:tc>
          <w:tcPr>
            <w:tcW w:w="2348" w:type="dxa"/>
            <w:shd w:val="clear" w:color="auto" w:fill="002060"/>
            <w:vAlign w:val="center"/>
          </w:tcPr>
          <w:p w14:paraId="08AB2D2C" w14:textId="77777777" w:rsidR="00423AF0" w:rsidRDefault="00423AF0" w:rsidP="003379AC">
            <w:pPr>
              <w:jc w:val="center"/>
              <w:rPr>
                <w:rFonts w:ascii="Titillium" w:eastAsia="Titillium" w:hAnsi="Titillium" w:cs="Titillium"/>
                <w:color w:val="FFFFFF" w:themeColor="background1"/>
                <w:sz w:val="18"/>
                <w:szCs w:val="18"/>
              </w:rPr>
            </w:pPr>
          </w:p>
        </w:tc>
      </w:tr>
      <w:tr w:rsidR="00423AF0" w14:paraId="1E425C6C" w14:textId="77777777" w:rsidTr="2E26A9A3">
        <w:trPr>
          <w:trHeight w:val="300"/>
        </w:trPr>
        <w:tc>
          <w:tcPr>
            <w:tcW w:w="1065" w:type="dxa"/>
            <w:vAlign w:val="center"/>
            <w:hideMark/>
          </w:tcPr>
          <w:p w14:paraId="0E9D5A26" w14:textId="77777777" w:rsidR="00423AF0" w:rsidRDefault="00423AF0" w:rsidP="003379AC">
            <w:pPr>
              <w:jc w:val="center"/>
              <w:rPr>
                <w:rFonts w:ascii="Titillium" w:eastAsia="Titillium" w:hAnsi="Titillium" w:cs="Titillium"/>
                <w:sz w:val="18"/>
                <w:szCs w:val="18"/>
              </w:rPr>
            </w:pPr>
          </w:p>
          <w:p w14:paraId="45982A33" w14:textId="77777777" w:rsidR="00423AF0" w:rsidRDefault="00423AF0" w:rsidP="003379AC">
            <w:pPr>
              <w:jc w:val="center"/>
              <w:rPr>
                <w:rFonts w:ascii="Titillium" w:eastAsia="Titillium" w:hAnsi="Titillium" w:cs="Titillium"/>
                <w:sz w:val="18"/>
                <w:szCs w:val="18"/>
              </w:rPr>
            </w:pPr>
            <w:r w:rsidRPr="77010471">
              <w:rPr>
                <w:rFonts w:ascii="Titillium" w:eastAsia="Titillium" w:hAnsi="Titillium" w:cs="Titillium"/>
                <w:color w:val="auto"/>
                <w:sz w:val="18"/>
                <w:szCs w:val="18"/>
                <w:lang w:eastAsia="en-US"/>
              </w:rPr>
              <w:t>EITECO05</w:t>
            </w:r>
          </w:p>
          <w:p w14:paraId="7997C62C" w14:textId="77777777" w:rsidR="00423AF0" w:rsidRDefault="00423AF0" w:rsidP="003379AC">
            <w:pPr>
              <w:jc w:val="center"/>
              <w:rPr>
                <w:rFonts w:ascii="Titillium" w:eastAsia="Titillium" w:hAnsi="Titillium" w:cs="Titillium"/>
                <w:sz w:val="18"/>
                <w:szCs w:val="18"/>
              </w:rPr>
            </w:pPr>
          </w:p>
        </w:tc>
        <w:tc>
          <w:tcPr>
            <w:tcW w:w="3540" w:type="dxa"/>
            <w:shd w:val="clear" w:color="auto" w:fill="FFFFFF" w:themeFill="background1"/>
            <w:vAlign w:val="center"/>
            <w:hideMark/>
          </w:tcPr>
          <w:p w14:paraId="4E9A6DD6" w14:textId="77777777" w:rsidR="00423AF0" w:rsidRDefault="00423AF0" w:rsidP="003379AC">
            <w:pPr>
              <w:rPr>
                <w:rFonts w:ascii="Titillium" w:eastAsia="Titillium" w:hAnsi="Titillium" w:cs="Titillium"/>
                <w:sz w:val="18"/>
                <w:szCs w:val="18"/>
              </w:rPr>
            </w:pPr>
            <w:r w:rsidRPr="636C4F36">
              <w:rPr>
                <w:rFonts w:ascii="Titillium" w:eastAsia="Titillium" w:hAnsi="Titillium" w:cs="Titillium"/>
                <w:sz w:val="18"/>
                <w:szCs w:val="18"/>
              </w:rPr>
              <w:t xml:space="preserve">External </w:t>
            </w:r>
            <w:proofErr w:type="spellStart"/>
            <w:r w:rsidRPr="636C4F36">
              <w:rPr>
                <w:rFonts w:ascii="Titillium" w:eastAsia="Titillium" w:hAnsi="Titillium" w:cs="Titillium"/>
                <w:sz w:val="18"/>
                <w:szCs w:val="18"/>
              </w:rPr>
              <w:t>funding</w:t>
            </w:r>
            <w:proofErr w:type="spellEnd"/>
            <w:r w:rsidRPr="636C4F36">
              <w:rPr>
                <w:rFonts w:ascii="Titillium" w:eastAsia="Titillium" w:hAnsi="Titillium" w:cs="Titillium"/>
                <w:sz w:val="18"/>
                <w:szCs w:val="18"/>
              </w:rPr>
              <w:t xml:space="preserve"> </w:t>
            </w:r>
            <w:proofErr w:type="spellStart"/>
            <w:r w:rsidRPr="636C4F36">
              <w:rPr>
                <w:rFonts w:ascii="Titillium" w:eastAsia="Titillium" w:hAnsi="Titillium" w:cs="Titillium"/>
                <w:sz w:val="18"/>
                <w:szCs w:val="18"/>
              </w:rPr>
              <w:t>raised</w:t>
            </w:r>
            <w:proofErr w:type="spellEnd"/>
          </w:p>
        </w:tc>
        <w:tc>
          <w:tcPr>
            <w:tcW w:w="2550" w:type="dxa"/>
            <w:shd w:val="clear" w:color="auto" w:fill="FFFFFF" w:themeFill="background1"/>
            <w:vAlign w:val="center"/>
          </w:tcPr>
          <w:p w14:paraId="15747B4B" w14:textId="77777777" w:rsidR="00423AF0" w:rsidRDefault="00423AF0" w:rsidP="003379AC">
            <w:pPr>
              <w:jc w:val="center"/>
              <w:rPr>
                <w:rFonts w:ascii="Titillium" w:eastAsia="Titillium" w:hAnsi="Titillium" w:cs="Titillium"/>
                <w:sz w:val="18"/>
                <w:szCs w:val="18"/>
              </w:rPr>
            </w:pPr>
            <w:r w:rsidRPr="636C4F36">
              <w:rPr>
                <w:rFonts w:ascii="Titillium" w:eastAsia="Titillium" w:hAnsi="Titillium" w:cs="Titillium"/>
                <w:sz w:val="18"/>
                <w:szCs w:val="18"/>
              </w:rPr>
              <w:t>10k EUR</w:t>
            </w:r>
          </w:p>
        </w:tc>
        <w:tc>
          <w:tcPr>
            <w:tcW w:w="2348" w:type="dxa"/>
            <w:shd w:val="clear" w:color="auto" w:fill="FFFFFF" w:themeFill="background1"/>
            <w:vAlign w:val="center"/>
          </w:tcPr>
          <w:p w14:paraId="30AAA9D7" w14:textId="77777777" w:rsidR="00423AF0" w:rsidRDefault="00423AF0" w:rsidP="003379AC">
            <w:pPr>
              <w:jc w:val="center"/>
              <w:rPr>
                <w:rFonts w:ascii="Titillium" w:eastAsia="Titillium" w:hAnsi="Titillium" w:cs="Titillium"/>
                <w:sz w:val="18"/>
                <w:szCs w:val="18"/>
              </w:rPr>
            </w:pPr>
            <w:r w:rsidRPr="636C4F36">
              <w:rPr>
                <w:rFonts w:ascii="Titillium" w:eastAsia="Titillium" w:hAnsi="Titillium" w:cs="Titillium"/>
                <w:sz w:val="18"/>
                <w:szCs w:val="18"/>
              </w:rPr>
              <w:t>20k EUR</w:t>
            </w:r>
          </w:p>
        </w:tc>
      </w:tr>
    </w:tbl>
    <w:p w14:paraId="72E0615D" w14:textId="77777777" w:rsidR="00423AF0" w:rsidRDefault="00423AF0" w:rsidP="00423AF0">
      <w:pPr>
        <w:rPr>
          <w:rFonts w:ascii="Titillium" w:eastAsia="Titillium" w:hAnsi="Titillium" w:cs="Titillium"/>
        </w:rPr>
      </w:pPr>
    </w:p>
    <w:p w14:paraId="25042D97" w14:textId="77777777" w:rsidR="00423AF0" w:rsidRDefault="00423AF0" w:rsidP="00423AF0">
      <w:pPr>
        <w:jc w:val="both"/>
        <w:rPr>
          <w:rFonts w:ascii="Titillium" w:eastAsia="Titillium" w:hAnsi="Titillium" w:cs="Titillium"/>
        </w:rPr>
      </w:pPr>
      <w:r w:rsidRPr="636C4F36">
        <w:rPr>
          <w:rFonts w:ascii="Titillium" w:eastAsia="Titillium" w:hAnsi="Titillium" w:cs="Titillium"/>
        </w:rPr>
        <w:t xml:space="preserve">The above KPI targets are established for the EIT Community Officers operating on the country level and yearly basis. </w:t>
      </w:r>
      <w:r w:rsidRPr="636C4F36">
        <w:rPr>
          <w:rFonts w:ascii="Titillium" w:eastAsia="Titillium" w:hAnsi="Titillium" w:cs="Titillium"/>
          <w:b/>
          <w:bCs/>
        </w:rPr>
        <w:t>The target values are established as minimums and can be subject to change defined by the Lead KIC depending on the needs of the programme, the previous years’ baseline data or the size of the country.</w:t>
      </w:r>
    </w:p>
    <w:p w14:paraId="2C55B6A0" w14:textId="77777777" w:rsidR="00423AF0" w:rsidRDefault="00423AF0" w:rsidP="00423AF0">
      <w:pPr>
        <w:pStyle w:val="Heading2"/>
        <w:spacing w:before="0" w:after="160"/>
        <w:rPr>
          <w:rFonts w:ascii="Titillium" w:eastAsia="Titillium" w:hAnsi="Titillium" w:cs="Titillium"/>
        </w:rPr>
      </w:pPr>
    </w:p>
    <w:p w14:paraId="6F4BD783" w14:textId="77777777" w:rsidR="00423AF0" w:rsidRPr="00D90AD3" w:rsidRDefault="00423AF0" w:rsidP="7295751F">
      <w:pPr>
        <w:jc w:val="both"/>
        <w:rPr>
          <w:rFonts w:asciiTheme="minorHAnsi" w:hAnsiTheme="minorHAnsi"/>
          <w:b/>
          <w:bCs/>
          <w:sz w:val="24"/>
          <w:szCs w:val="24"/>
          <w:lang w:val="en-US"/>
        </w:rPr>
      </w:pPr>
      <w:bookmarkStart w:id="80" w:name="_Toc1858700628"/>
      <w:bookmarkStart w:id="81" w:name="_Toc205312699"/>
      <w:r w:rsidRPr="7295751F">
        <w:rPr>
          <w:rFonts w:asciiTheme="minorHAnsi" w:hAnsiTheme="minorHAnsi"/>
          <w:b/>
          <w:bCs/>
          <w:sz w:val="24"/>
          <w:szCs w:val="24"/>
          <w:lang w:val="en-US"/>
        </w:rPr>
        <w:t>Activities per Work Packages</w:t>
      </w:r>
      <w:bookmarkEnd w:id="80"/>
      <w:bookmarkEnd w:id="81"/>
    </w:p>
    <w:p w14:paraId="4B97B00E" w14:textId="77777777" w:rsidR="00423AF0" w:rsidRDefault="00423AF0" w:rsidP="00423AF0">
      <w:pPr>
        <w:jc w:val="both"/>
        <w:rPr>
          <w:rFonts w:ascii="Titillium" w:eastAsia="Titillium" w:hAnsi="Titillium" w:cs="Titillium"/>
        </w:rPr>
      </w:pPr>
      <w:r w:rsidRPr="636C4F36">
        <w:rPr>
          <w:rFonts w:ascii="Titillium" w:eastAsia="Titillium" w:hAnsi="Titillium" w:cs="Titillium"/>
        </w:rPr>
        <w:t xml:space="preserve">The activities mandated to the EIT Community Officers in the </w:t>
      </w:r>
      <w:hyperlink r:id="rId29">
        <w:r w:rsidRPr="636C4F36">
          <w:rPr>
            <w:rStyle w:val="Hyperlink"/>
            <w:rFonts w:ascii="Titillium" w:eastAsia="Titillium" w:hAnsi="Titillium" w:cs="Titillium"/>
            <w:sz w:val="22"/>
            <w:lang w:val="en-US"/>
          </w:rPr>
          <w:t>EIT RIS Implementation Framework (Updated 2025-2027)</w:t>
        </w:r>
      </w:hyperlink>
      <w:r w:rsidRPr="636C4F36">
        <w:rPr>
          <w:rFonts w:ascii="Titillium" w:eastAsia="Titillium" w:hAnsi="Titillium" w:cs="Titillium"/>
          <w:sz w:val="22"/>
        </w:rPr>
        <w:t xml:space="preserve"> document are also integrated</w:t>
      </w:r>
      <w:r w:rsidRPr="636C4F36">
        <w:rPr>
          <w:rFonts w:ascii="Titillium" w:eastAsia="Titillium" w:hAnsi="Titillium" w:cs="Titillium"/>
        </w:rPr>
        <w:t xml:space="preserve"> in a way that they serve the purpose to contribute to the impact framework rather than being a task on its own. Tasks outputs are measured with </w:t>
      </w:r>
      <w:r w:rsidRPr="636C4F36">
        <w:rPr>
          <w:rFonts w:ascii="Titillium" w:eastAsia="Titillium" w:hAnsi="Titillium" w:cs="Titillium"/>
          <w:b/>
          <w:bCs/>
        </w:rPr>
        <w:t xml:space="preserve">EIT Community Officer metrics </w:t>
      </w:r>
      <w:r w:rsidRPr="636C4F36">
        <w:rPr>
          <w:rFonts w:ascii="Titillium" w:eastAsia="Titillium" w:hAnsi="Titillium" w:cs="Titillium"/>
        </w:rPr>
        <w:t>and support the achievement of EIT Community Officers key performance indicators.</w:t>
      </w:r>
    </w:p>
    <w:p w14:paraId="1549DF7B" w14:textId="77777777" w:rsidR="00423AF0" w:rsidRDefault="00423AF0" w:rsidP="00423AF0">
      <w:pPr>
        <w:jc w:val="both"/>
        <w:rPr>
          <w:rFonts w:ascii="Titillium" w:eastAsia="Titillium" w:hAnsi="Titillium" w:cs="Titillium"/>
        </w:rPr>
      </w:pPr>
      <w:r w:rsidRPr="636C4F36">
        <w:rPr>
          <w:rFonts w:ascii="Titillium" w:eastAsia="Titillium" w:hAnsi="Titillium" w:cs="Titillium"/>
        </w:rPr>
        <w:t>The EIT Community Officer activities are integrated into 4 work packages, each of them including mandatory and optional activities contributing to the achievement of the EITECO KPIs.</w:t>
      </w:r>
    </w:p>
    <w:p w14:paraId="4E0F35B8" w14:textId="77777777" w:rsidR="00423AF0" w:rsidRDefault="00423AF0" w:rsidP="00423AF0">
      <w:pPr>
        <w:jc w:val="both"/>
        <w:rPr>
          <w:rFonts w:ascii="Titillium" w:eastAsia="Titillium" w:hAnsi="Titillium" w:cs="Titillium"/>
        </w:rPr>
      </w:pPr>
      <w:r w:rsidRPr="636C4F36">
        <w:rPr>
          <w:rFonts w:ascii="Titillium" w:eastAsia="Titillium" w:hAnsi="Titillium" w:cs="Titillium"/>
        </w:rPr>
        <w:t>Mandatory activities are defined as per the RIS Implementation Framework (Updated 2025-2027) document and contribute to the KPI achievement.</w:t>
      </w:r>
    </w:p>
    <w:p w14:paraId="388CAAFC" w14:textId="77777777" w:rsidR="00423AF0" w:rsidRPr="00D90AD3" w:rsidRDefault="00423AF0" w:rsidP="7295751F">
      <w:pPr>
        <w:jc w:val="both"/>
        <w:rPr>
          <w:rFonts w:asciiTheme="minorHAnsi" w:hAnsiTheme="minorHAnsi"/>
          <w:b/>
          <w:bCs/>
          <w:sz w:val="24"/>
          <w:szCs w:val="24"/>
          <w:lang w:val="en-US"/>
        </w:rPr>
      </w:pPr>
      <w:bookmarkStart w:id="82" w:name="_Toc1410382459"/>
      <w:bookmarkStart w:id="83" w:name="_Toc205312700"/>
      <w:r w:rsidRPr="7295751F">
        <w:rPr>
          <w:rFonts w:asciiTheme="minorHAnsi" w:hAnsiTheme="minorHAnsi"/>
          <w:b/>
          <w:bCs/>
          <w:sz w:val="24"/>
          <w:szCs w:val="24"/>
          <w:lang w:val="en-US"/>
        </w:rPr>
        <w:t>4.1. Mandatory activities</w:t>
      </w:r>
      <w:bookmarkEnd w:id="82"/>
      <w:bookmarkEnd w:id="83"/>
    </w:p>
    <w:p w14:paraId="078868E8" w14:textId="1C6B3C86" w:rsidR="00423AF0" w:rsidRPr="00D90AD3" w:rsidRDefault="00423AF0" w:rsidP="7295751F">
      <w:pPr>
        <w:jc w:val="both"/>
        <w:rPr>
          <w:rFonts w:asciiTheme="minorHAnsi" w:hAnsiTheme="minorHAnsi"/>
          <w:b/>
          <w:bCs/>
          <w:sz w:val="24"/>
          <w:szCs w:val="24"/>
          <w:lang w:val="en-US"/>
        </w:rPr>
      </w:pPr>
      <w:bookmarkStart w:id="84" w:name="_Toc855695027"/>
      <w:bookmarkStart w:id="85" w:name="_Toc205312701"/>
      <w:r w:rsidRPr="7295751F">
        <w:rPr>
          <w:rFonts w:asciiTheme="minorHAnsi" w:hAnsiTheme="minorHAnsi"/>
          <w:b/>
          <w:bCs/>
          <w:sz w:val="24"/>
          <w:szCs w:val="24"/>
          <w:lang w:val="en-US"/>
        </w:rPr>
        <w:t xml:space="preserve">Work package </w:t>
      </w:r>
      <w:r w:rsidR="00D90AD3" w:rsidRPr="7295751F">
        <w:rPr>
          <w:rFonts w:asciiTheme="minorHAnsi" w:hAnsiTheme="minorHAnsi"/>
          <w:b/>
          <w:bCs/>
          <w:sz w:val="24"/>
          <w:szCs w:val="24"/>
          <w:lang w:val="en-US"/>
        </w:rPr>
        <w:t>1</w:t>
      </w:r>
      <w:r w:rsidRPr="7295751F">
        <w:rPr>
          <w:rFonts w:asciiTheme="minorHAnsi" w:hAnsiTheme="minorHAnsi"/>
          <w:b/>
          <w:bCs/>
          <w:sz w:val="24"/>
          <w:szCs w:val="24"/>
          <w:lang w:val="en-US"/>
        </w:rPr>
        <w:t xml:space="preserve"> – Administration/Coordination/Communication</w:t>
      </w:r>
      <w:bookmarkEnd w:id="84"/>
      <w:bookmarkEnd w:id="85"/>
    </w:p>
    <w:p w14:paraId="172D3A37" w14:textId="77777777" w:rsidR="00423AF0" w:rsidRDefault="00423AF0" w:rsidP="00423AF0">
      <w:pPr>
        <w:rPr>
          <w:rFonts w:ascii="Titillium" w:eastAsia="Titillium" w:hAnsi="Titillium" w:cs="Titillium"/>
          <w:b/>
          <w:bCs/>
        </w:rPr>
      </w:pPr>
      <w:r w:rsidRPr="636C4F36">
        <w:rPr>
          <w:rFonts w:ascii="Titillium" w:eastAsia="Titillium" w:hAnsi="Titillium" w:cs="Titillium"/>
          <w:b/>
          <w:bCs/>
        </w:rPr>
        <w:t>Administration activities:</w:t>
      </w:r>
    </w:p>
    <w:p w14:paraId="3D1F10B8" w14:textId="77777777" w:rsidR="00423AF0" w:rsidRDefault="00423AF0" w:rsidP="00D90AD3">
      <w:pPr>
        <w:pStyle w:val="ListParagraph"/>
        <w:numPr>
          <w:ilvl w:val="0"/>
          <w:numId w:val="33"/>
        </w:numPr>
        <w:spacing w:after="160" w:line="259" w:lineRule="auto"/>
        <w:jc w:val="both"/>
        <w:rPr>
          <w:rFonts w:ascii="Titillium" w:eastAsia="Titillium" w:hAnsi="Titillium" w:cs="Titillium"/>
        </w:rPr>
      </w:pPr>
      <w:r w:rsidRPr="636C4F36">
        <w:rPr>
          <w:rFonts w:ascii="Titillium" w:eastAsia="Titillium" w:hAnsi="Titillium" w:cs="Titillium"/>
        </w:rPr>
        <w:t xml:space="preserve">Develop a good understanding of the EIT model and keep up-to-date with the KICs activities; </w:t>
      </w:r>
    </w:p>
    <w:p w14:paraId="6BD13A48" w14:textId="77777777" w:rsidR="00423AF0" w:rsidRDefault="00423AF0" w:rsidP="00D90AD3">
      <w:pPr>
        <w:pStyle w:val="ListParagraph"/>
        <w:numPr>
          <w:ilvl w:val="0"/>
          <w:numId w:val="33"/>
        </w:numPr>
        <w:spacing w:after="160" w:line="259" w:lineRule="auto"/>
        <w:jc w:val="both"/>
        <w:rPr>
          <w:rFonts w:ascii="Titillium" w:eastAsia="Titillium" w:hAnsi="Titillium" w:cs="Titillium"/>
        </w:rPr>
      </w:pPr>
      <w:r w:rsidRPr="636C4F36">
        <w:rPr>
          <w:rFonts w:ascii="Titillium" w:eastAsia="Titillium" w:hAnsi="Titillium" w:cs="Titillium"/>
        </w:rPr>
        <w:t xml:space="preserve">Set up and maintain a physical space, in a city accepted by the Cross-KIC Strategic Regional Innovations Cluster and the EIT, after having consulted with or at least informed the national authorities in advance, where local stakeholders, including NCPs, can physically, walk-in to obtain information on, as well as gain access to the EIT Community, while additionally, aiding with the EIT’s on-the-ground visibility and branding; </w:t>
      </w:r>
    </w:p>
    <w:p w14:paraId="54B5DB62" w14:textId="77777777" w:rsidR="00423AF0" w:rsidRDefault="00423AF0" w:rsidP="00D90AD3">
      <w:pPr>
        <w:pStyle w:val="ListParagraph"/>
        <w:numPr>
          <w:ilvl w:val="0"/>
          <w:numId w:val="33"/>
        </w:numPr>
        <w:spacing w:after="160" w:line="259" w:lineRule="auto"/>
        <w:jc w:val="both"/>
        <w:rPr>
          <w:rFonts w:ascii="Titillium" w:eastAsia="Titillium" w:hAnsi="Titillium" w:cs="Titillium"/>
        </w:rPr>
      </w:pPr>
      <w:r w:rsidRPr="636C4F36">
        <w:rPr>
          <w:rFonts w:ascii="Titillium" w:eastAsia="Titillium" w:hAnsi="Titillium" w:cs="Titillium"/>
        </w:rPr>
        <w:t xml:space="preserve">Collaborate closely with the wider network of EIT Community Officers including by sharing information, good practices, collaborating on joint initiatives as well as any other activities which would support the EIT Community and the local innovation ecosystem </w:t>
      </w:r>
    </w:p>
    <w:p w14:paraId="5FAE28EC" w14:textId="77777777" w:rsidR="00423AF0" w:rsidRDefault="00423AF0" w:rsidP="00D90AD3">
      <w:pPr>
        <w:pStyle w:val="ListParagraph"/>
        <w:numPr>
          <w:ilvl w:val="0"/>
          <w:numId w:val="33"/>
        </w:numPr>
        <w:spacing w:after="160" w:line="259" w:lineRule="auto"/>
        <w:jc w:val="both"/>
        <w:rPr>
          <w:rFonts w:ascii="Titillium" w:eastAsia="Titillium" w:hAnsi="Titillium" w:cs="Titillium"/>
        </w:rPr>
      </w:pPr>
      <w:r w:rsidRPr="636C4F36">
        <w:rPr>
          <w:rFonts w:ascii="Titillium" w:eastAsia="Titillium" w:hAnsi="Titillium" w:cs="Titillium"/>
        </w:rPr>
        <w:lastRenderedPageBreak/>
        <w:t xml:space="preserve">Any other tasks mandated by the EIT Management which, in principle, supports the EIT RIS Hubs to contribute to the achievement of the EIT’s Objectives and implementation of its Strategy and Annual Work Programmes. </w:t>
      </w:r>
    </w:p>
    <w:p w14:paraId="3764DC46" w14:textId="77777777" w:rsidR="00423AF0" w:rsidRDefault="00423AF0" w:rsidP="00D90AD3">
      <w:pPr>
        <w:pStyle w:val="ListParagraph"/>
        <w:numPr>
          <w:ilvl w:val="0"/>
          <w:numId w:val="33"/>
        </w:numPr>
        <w:spacing w:after="160" w:line="259" w:lineRule="auto"/>
        <w:jc w:val="both"/>
        <w:rPr>
          <w:rFonts w:ascii="Titillium" w:eastAsia="Titillium" w:hAnsi="Titillium" w:cs="Titillium"/>
        </w:rPr>
      </w:pPr>
      <w:r w:rsidRPr="636C4F36">
        <w:rPr>
          <w:rFonts w:ascii="Titillium" w:eastAsia="Titillium" w:hAnsi="Titillium" w:cs="Titillium"/>
        </w:rPr>
        <w:t>Form good working relations with the whole EIT Community, including the SRI Cluster.</w:t>
      </w:r>
    </w:p>
    <w:p w14:paraId="33632A8B" w14:textId="77777777" w:rsidR="00423AF0" w:rsidRDefault="00423AF0" w:rsidP="00D90AD3">
      <w:pPr>
        <w:pStyle w:val="ListParagraph"/>
        <w:numPr>
          <w:ilvl w:val="0"/>
          <w:numId w:val="33"/>
        </w:numPr>
        <w:spacing w:after="160" w:line="259" w:lineRule="auto"/>
        <w:jc w:val="both"/>
        <w:rPr>
          <w:rFonts w:ascii="Titillium" w:eastAsia="Titillium" w:hAnsi="Titillium" w:cs="Titillium"/>
        </w:rPr>
      </w:pPr>
      <w:r w:rsidRPr="636C4F36">
        <w:rPr>
          <w:rFonts w:ascii="Titillium" w:eastAsia="Titillium" w:hAnsi="Titillium" w:cs="Titillium"/>
        </w:rPr>
        <w:t>Review and report to the EIT Community Officer Coordinator via the Lead KIC SPOC of the EIT Community Officer.</w:t>
      </w:r>
    </w:p>
    <w:tbl>
      <w:tblPr>
        <w:tblStyle w:val="TableGrid"/>
        <w:tblW w:w="0" w:type="auto"/>
        <w:tblLook w:val="06A0" w:firstRow="1" w:lastRow="0" w:firstColumn="1" w:lastColumn="0" w:noHBand="1" w:noVBand="1"/>
      </w:tblPr>
      <w:tblGrid>
        <w:gridCol w:w="9204"/>
      </w:tblGrid>
      <w:tr w:rsidR="00423AF0" w14:paraId="5A24CF21" w14:textId="77777777" w:rsidTr="003379AC">
        <w:trPr>
          <w:trHeight w:val="300"/>
        </w:trPr>
        <w:tc>
          <w:tcPr>
            <w:tcW w:w="9472" w:type="dxa"/>
            <w:shd w:val="clear" w:color="auto" w:fill="002060"/>
          </w:tcPr>
          <w:p w14:paraId="7E63EA6A" w14:textId="77777777" w:rsidR="00423AF0" w:rsidRDefault="00423AF0" w:rsidP="003379AC">
            <w:pPr>
              <w:rPr>
                <w:rFonts w:ascii="Titillium" w:eastAsia="Titillium" w:hAnsi="Titillium" w:cs="Titillium"/>
                <w:color w:val="FFFFFF" w:themeColor="background1"/>
              </w:rPr>
            </w:pPr>
            <w:proofErr w:type="spellStart"/>
            <w:r w:rsidRPr="636C4F36">
              <w:rPr>
                <w:rFonts w:ascii="Titillium" w:eastAsia="Titillium" w:hAnsi="Titillium" w:cs="Titillium"/>
                <w:color w:val="FFFFFF" w:themeColor="background1"/>
              </w:rPr>
              <w:t>Expected</w:t>
            </w:r>
            <w:proofErr w:type="spellEnd"/>
            <w:r w:rsidRPr="636C4F36">
              <w:rPr>
                <w:rFonts w:ascii="Titillium" w:eastAsia="Titillium" w:hAnsi="Titillium" w:cs="Titillium"/>
                <w:color w:val="FFFFFF" w:themeColor="background1"/>
              </w:rPr>
              <w:t xml:space="preserve"> </w:t>
            </w:r>
            <w:proofErr w:type="spellStart"/>
            <w:r w:rsidRPr="636C4F36">
              <w:rPr>
                <w:rFonts w:ascii="Titillium" w:eastAsia="Titillium" w:hAnsi="Titillium" w:cs="Titillium"/>
                <w:color w:val="FFFFFF" w:themeColor="background1"/>
              </w:rPr>
              <w:t>deliverables</w:t>
            </w:r>
            <w:proofErr w:type="spellEnd"/>
            <w:r w:rsidRPr="636C4F36">
              <w:rPr>
                <w:rFonts w:ascii="Titillium" w:eastAsia="Titillium" w:hAnsi="Titillium" w:cs="Titillium"/>
                <w:color w:val="FFFFFF" w:themeColor="background1"/>
              </w:rPr>
              <w:t xml:space="preserve"> </w:t>
            </w:r>
          </w:p>
        </w:tc>
      </w:tr>
      <w:tr w:rsidR="00423AF0" w14:paraId="0D23BE56" w14:textId="77777777" w:rsidTr="003379AC">
        <w:trPr>
          <w:trHeight w:val="300"/>
        </w:trPr>
        <w:tc>
          <w:tcPr>
            <w:tcW w:w="9472" w:type="dxa"/>
          </w:tcPr>
          <w:p w14:paraId="512B111C" w14:textId="77777777" w:rsidR="00423AF0" w:rsidRPr="00423AF0" w:rsidRDefault="00423AF0" w:rsidP="00D90AD3">
            <w:pPr>
              <w:pStyle w:val="ListParagraph"/>
              <w:numPr>
                <w:ilvl w:val="0"/>
                <w:numId w:val="30"/>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5 photos of the 1 EIT Community Hub Office with relevant branding</w:t>
            </w:r>
          </w:p>
          <w:p w14:paraId="7C3C3D21" w14:textId="77777777" w:rsidR="00423AF0" w:rsidRPr="00423AF0" w:rsidRDefault="00423AF0" w:rsidP="00D90AD3">
            <w:pPr>
              <w:pStyle w:val="ListParagraph"/>
              <w:numPr>
                <w:ilvl w:val="0"/>
                <w:numId w:val="30"/>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Attendance at 10 monthly ECO/SPOC meetings yearly (attendance list) and 1 ECO Annual Meeting or informal gathering</w:t>
            </w:r>
          </w:p>
          <w:p w14:paraId="2E0212A6" w14:textId="77777777" w:rsidR="00423AF0" w:rsidRPr="00423AF0" w:rsidRDefault="00423AF0" w:rsidP="00D90AD3">
            <w:pPr>
              <w:pStyle w:val="ListParagraph"/>
              <w:numPr>
                <w:ilvl w:val="0"/>
                <w:numId w:val="30"/>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Presentation of at least 1 good practice, joint opportunities (ppt slide deck, good practice case studies shared, templates to be used by other ECOs)</w:t>
            </w:r>
          </w:p>
          <w:p w14:paraId="2092474B" w14:textId="77777777" w:rsidR="00423AF0" w:rsidRPr="00423AF0" w:rsidRDefault="00423AF0" w:rsidP="00D90AD3">
            <w:pPr>
              <w:pStyle w:val="ListParagraph"/>
              <w:numPr>
                <w:ilvl w:val="0"/>
                <w:numId w:val="30"/>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yearly Activity Plan, 4 quarterly review reports and 12 monthly briefing sessions, per year, with Lead KIC SPOCs</w:t>
            </w:r>
          </w:p>
          <w:p w14:paraId="26C5CBAF" w14:textId="77777777" w:rsidR="00423AF0" w:rsidRPr="00423AF0" w:rsidRDefault="00423AF0" w:rsidP="00D90AD3">
            <w:pPr>
              <w:pStyle w:val="ListParagraph"/>
              <w:numPr>
                <w:ilvl w:val="0"/>
                <w:numId w:val="30"/>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Flash reports to EIT in case of events for which participation is mandated by EIT or with the participation of high-level EU, national government representative.</w:t>
            </w:r>
          </w:p>
        </w:tc>
      </w:tr>
    </w:tbl>
    <w:p w14:paraId="2F49A0D7" w14:textId="77777777" w:rsidR="00423AF0" w:rsidRDefault="00423AF0" w:rsidP="00423AF0">
      <w:pPr>
        <w:jc w:val="both"/>
        <w:rPr>
          <w:rFonts w:ascii="Titillium" w:eastAsia="Titillium" w:hAnsi="Titillium" w:cs="Titillium"/>
        </w:rPr>
      </w:pPr>
    </w:p>
    <w:p w14:paraId="36AC2967" w14:textId="77777777" w:rsidR="00423AF0" w:rsidRDefault="00423AF0" w:rsidP="00423AF0">
      <w:pPr>
        <w:rPr>
          <w:rFonts w:ascii="Titillium" w:eastAsia="Titillium" w:hAnsi="Titillium" w:cs="Titillium"/>
          <w:b/>
          <w:bCs/>
        </w:rPr>
      </w:pPr>
      <w:r w:rsidRPr="636C4F36">
        <w:rPr>
          <w:rFonts w:ascii="Titillium" w:eastAsia="Titillium" w:hAnsi="Titillium" w:cs="Titillium"/>
          <w:b/>
          <w:bCs/>
        </w:rPr>
        <w:t>Coordination activities:</w:t>
      </w:r>
    </w:p>
    <w:p w14:paraId="05BD3155" w14:textId="77777777" w:rsidR="00423AF0" w:rsidRDefault="00423AF0" w:rsidP="00423AF0">
      <w:pPr>
        <w:pStyle w:val="ListParagraph"/>
        <w:ind w:left="360"/>
        <w:jc w:val="both"/>
        <w:rPr>
          <w:rFonts w:ascii="Titillium" w:eastAsia="Titillium" w:hAnsi="Titillium" w:cs="Titillium"/>
        </w:rPr>
      </w:pPr>
      <w:r w:rsidRPr="77010471">
        <w:rPr>
          <w:rFonts w:ascii="Titillium" w:eastAsia="Titillium" w:hAnsi="Titillium" w:cs="Titillium"/>
        </w:rPr>
        <w:t>Local EIT Community coordination:</w:t>
      </w:r>
    </w:p>
    <w:p w14:paraId="461A4659" w14:textId="77777777" w:rsidR="00423AF0" w:rsidRDefault="00423AF0" w:rsidP="00D90AD3">
      <w:pPr>
        <w:pStyle w:val="ListParagraph"/>
        <w:numPr>
          <w:ilvl w:val="0"/>
          <w:numId w:val="34"/>
        </w:numPr>
        <w:spacing w:after="160" w:line="259" w:lineRule="auto"/>
        <w:ind w:left="720"/>
        <w:jc w:val="both"/>
        <w:rPr>
          <w:rFonts w:ascii="Titillium" w:eastAsia="Titillium" w:hAnsi="Titillium" w:cs="Titillium"/>
        </w:rPr>
      </w:pPr>
      <w:r w:rsidRPr="636C4F36">
        <w:rPr>
          <w:rFonts w:ascii="Titillium" w:eastAsia="Titillium" w:hAnsi="Titillium" w:cs="Titillium"/>
        </w:rPr>
        <w:t>Deploy and keep up-to-date the governance Memorandum of Understanding of the EIT Community Hub that sets up the working relations with all Members of the EIT Community Hub, including other EIT KIC Offices present in the same ecosystem nationally;</w:t>
      </w:r>
    </w:p>
    <w:p w14:paraId="79098E35" w14:textId="77777777" w:rsidR="00423AF0" w:rsidRDefault="00423AF0" w:rsidP="00D90AD3">
      <w:pPr>
        <w:pStyle w:val="ListParagraph"/>
        <w:numPr>
          <w:ilvl w:val="0"/>
          <w:numId w:val="34"/>
        </w:numPr>
        <w:spacing w:after="160" w:line="259" w:lineRule="auto"/>
        <w:ind w:left="720"/>
        <w:jc w:val="both"/>
        <w:rPr>
          <w:rFonts w:ascii="Titillium" w:eastAsia="Titillium" w:hAnsi="Titillium" w:cs="Titillium"/>
        </w:rPr>
      </w:pPr>
      <w:r w:rsidRPr="62283C19">
        <w:rPr>
          <w:rFonts w:ascii="Titillium" w:eastAsia="Titillium" w:hAnsi="Titillium" w:cs="Titillium"/>
        </w:rPr>
        <w:t xml:space="preserve">In consultation with the Members of the EIT Community Hub, and other EIT KIC Offices present in the same ecosystem, establish a smooth and efficient working method which limits administrative burdens, while supporting their minimum functions; </w:t>
      </w:r>
    </w:p>
    <w:p w14:paraId="7EA18B33" w14:textId="77777777" w:rsidR="00423AF0" w:rsidRDefault="00423AF0" w:rsidP="00D90AD3">
      <w:pPr>
        <w:pStyle w:val="ListParagraph"/>
        <w:numPr>
          <w:ilvl w:val="0"/>
          <w:numId w:val="34"/>
        </w:numPr>
        <w:spacing w:after="160" w:line="259" w:lineRule="auto"/>
        <w:ind w:left="720"/>
        <w:jc w:val="both"/>
        <w:rPr>
          <w:rFonts w:ascii="Titillium" w:eastAsia="Titillium" w:hAnsi="Titillium" w:cs="Titillium"/>
        </w:rPr>
      </w:pPr>
      <w:r w:rsidRPr="636C4F36">
        <w:rPr>
          <w:rFonts w:ascii="Titillium" w:eastAsia="Titillium" w:hAnsi="Titillium" w:cs="Titillium"/>
        </w:rPr>
        <w:t>Design an appropriate work method and necessary tools for information sharing / coordination so as to facilitate continuous information exchange between the Members of the EIT Community Hub, and other EIT KIC Offices present in the same ecosystem nationally;</w:t>
      </w:r>
    </w:p>
    <w:p w14:paraId="16661ECA" w14:textId="77777777" w:rsidR="00423AF0" w:rsidRDefault="00423AF0" w:rsidP="00D90AD3">
      <w:pPr>
        <w:pStyle w:val="ListParagraph"/>
        <w:numPr>
          <w:ilvl w:val="0"/>
          <w:numId w:val="34"/>
        </w:numPr>
        <w:spacing w:after="160" w:line="259" w:lineRule="auto"/>
        <w:ind w:left="720"/>
        <w:jc w:val="both"/>
        <w:rPr>
          <w:rFonts w:ascii="Titillium" w:eastAsia="Titillium" w:hAnsi="Titillium" w:cs="Titillium"/>
        </w:rPr>
      </w:pPr>
      <w:r w:rsidRPr="636C4F36">
        <w:rPr>
          <w:rFonts w:ascii="Titillium" w:eastAsia="Titillium" w:hAnsi="Titillium" w:cs="Titillium"/>
        </w:rPr>
        <w:t>To the greatest extent possible, and when appropriate, ensure a coordinated approach amongst the EIT KICs, Members of the EIT Community Hub, and other EIT KIC Offices, EIT Alumni Network towards national authorities including relevant NCPs and Managing Authorities;</w:t>
      </w:r>
    </w:p>
    <w:p w14:paraId="66B7D737" w14:textId="77777777" w:rsidR="00423AF0" w:rsidRDefault="00423AF0" w:rsidP="00D90AD3">
      <w:pPr>
        <w:pStyle w:val="ListParagraph"/>
        <w:numPr>
          <w:ilvl w:val="0"/>
          <w:numId w:val="34"/>
        </w:numPr>
        <w:spacing w:after="160" w:line="259" w:lineRule="auto"/>
        <w:ind w:left="720"/>
        <w:jc w:val="both"/>
        <w:rPr>
          <w:rFonts w:ascii="Titillium" w:eastAsia="Titillium" w:hAnsi="Titillium" w:cs="Titillium"/>
        </w:rPr>
      </w:pPr>
      <w:r w:rsidRPr="636C4F36">
        <w:rPr>
          <w:rFonts w:ascii="Titillium" w:eastAsia="Titillium" w:hAnsi="Titillium" w:cs="Titillium"/>
        </w:rPr>
        <w:t>Identify the need for and facilitating the implementation of shared services for Hub Members with a view to improve efficiency;</w:t>
      </w:r>
    </w:p>
    <w:p w14:paraId="35C83CC9" w14:textId="77777777" w:rsidR="00423AF0" w:rsidRDefault="00423AF0" w:rsidP="00D90AD3">
      <w:pPr>
        <w:pStyle w:val="ListParagraph"/>
        <w:numPr>
          <w:ilvl w:val="0"/>
          <w:numId w:val="34"/>
        </w:numPr>
        <w:spacing w:after="160" w:line="259" w:lineRule="auto"/>
        <w:ind w:left="720"/>
        <w:jc w:val="both"/>
        <w:rPr>
          <w:rFonts w:ascii="Titillium" w:eastAsia="Titillium" w:hAnsi="Titillium" w:cs="Titillium"/>
        </w:rPr>
      </w:pPr>
      <w:r w:rsidRPr="636C4F36">
        <w:rPr>
          <w:rFonts w:ascii="Titillium" w:eastAsia="Titillium" w:hAnsi="Titillium" w:cs="Titillium"/>
        </w:rPr>
        <w:t>Facilitate and coordinate EIT Community branding efforts, sharing information and advising KICs and Community Members.</w:t>
      </w:r>
    </w:p>
    <w:p w14:paraId="5DD0C2C2" w14:textId="77777777" w:rsidR="00423AF0" w:rsidRDefault="00423AF0" w:rsidP="00423AF0">
      <w:pPr>
        <w:pStyle w:val="ListParagraph"/>
        <w:jc w:val="both"/>
        <w:rPr>
          <w:rFonts w:ascii="Titillium" w:eastAsia="Titillium" w:hAnsi="Titillium" w:cs="Titillium"/>
        </w:rPr>
      </w:pPr>
    </w:p>
    <w:p w14:paraId="2CCC8137" w14:textId="77777777" w:rsidR="00423AF0" w:rsidRDefault="00423AF0" w:rsidP="00423AF0">
      <w:pPr>
        <w:pStyle w:val="ListParagraph"/>
        <w:ind w:left="360"/>
        <w:jc w:val="both"/>
        <w:rPr>
          <w:rFonts w:ascii="Titillium" w:eastAsia="Titillium" w:hAnsi="Titillium" w:cs="Titillium"/>
        </w:rPr>
      </w:pPr>
    </w:p>
    <w:p w14:paraId="3C85F4AC" w14:textId="77777777" w:rsidR="00423AF0" w:rsidRDefault="00423AF0" w:rsidP="00423AF0">
      <w:pPr>
        <w:pStyle w:val="ListParagraph"/>
        <w:ind w:left="360"/>
        <w:jc w:val="both"/>
        <w:rPr>
          <w:rFonts w:ascii="Titillium" w:eastAsia="Titillium" w:hAnsi="Titillium" w:cs="Titillium"/>
        </w:rPr>
      </w:pPr>
      <w:r w:rsidRPr="636C4F36">
        <w:rPr>
          <w:rFonts w:ascii="Titillium" w:eastAsia="Titillium" w:hAnsi="Titillium" w:cs="Titillium"/>
        </w:rPr>
        <w:t>Local intelligence gathering:</w:t>
      </w:r>
    </w:p>
    <w:p w14:paraId="7A082E37" w14:textId="77777777" w:rsidR="00423AF0" w:rsidRDefault="00423AF0" w:rsidP="00D90AD3">
      <w:pPr>
        <w:pStyle w:val="ListParagraph"/>
        <w:numPr>
          <w:ilvl w:val="0"/>
          <w:numId w:val="34"/>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Maintain a fully updated understanding of the local innovation ecosystem, including its innovation needs and gaps; </w:t>
      </w:r>
    </w:p>
    <w:p w14:paraId="26E1FBFA" w14:textId="77777777" w:rsidR="00423AF0" w:rsidRDefault="00423AF0" w:rsidP="00D90AD3">
      <w:pPr>
        <w:pStyle w:val="ListParagraph"/>
        <w:numPr>
          <w:ilvl w:val="0"/>
          <w:numId w:val="34"/>
        </w:numPr>
        <w:spacing w:after="160" w:line="259" w:lineRule="auto"/>
        <w:ind w:left="720"/>
        <w:jc w:val="both"/>
        <w:rPr>
          <w:rFonts w:ascii="Titillium" w:eastAsia="Titillium" w:hAnsi="Titillium" w:cs="Titillium"/>
        </w:rPr>
      </w:pPr>
      <w:r w:rsidRPr="636C4F36">
        <w:rPr>
          <w:rFonts w:ascii="Titillium" w:eastAsia="Titillium" w:hAnsi="Titillium" w:cs="Titillium"/>
        </w:rPr>
        <w:t>Build a stro</w:t>
      </w:r>
      <w:r w:rsidRPr="636C4F36">
        <w:rPr>
          <w:rFonts w:ascii="Titillium" w:eastAsia="Titillium" w:hAnsi="Titillium" w:cs="Titillium"/>
          <w:sz w:val="22"/>
        </w:rPr>
        <w:t xml:space="preserve">ng working relationship with the key local innovation stakeholders, including relevant NCPs and other national authorities, in order to </w:t>
      </w:r>
      <w:r w:rsidRPr="636C4F36">
        <w:rPr>
          <w:rFonts w:ascii="Titillium" w:eastAsia="Titillium" w:hAnsi="Titillium" w:cs="Titillium"/>
          <w:sz w:val="22"/>
          <w:lang w:val="en-US"/>
        </w:rPr>
        <w:t xml:space="preserve">highlight to the national authorities, the added </w:t>
      </w:r>
      <w:r w:rsidRPr="636C4F36">
        <w:rPr>
          <w:rFonts w:ascii="Titillium" w:eastAsia="Titillium" w:hAnsi="Titillium" w:cs="Titillium"/>
          <w:sz w:val="22"/>
          <w:lang w:val="en-US"/>
        </w:rPr>
        <w:lastRenderedPageBreak/>
        <w:t>value of the EIT, and influencing the national position in FP10 negotiations. Also, liaise with</w:t>
      </w:r>
      <w:r w:rsidRPr="636C4F36">
        <w:rPr>
          <w:rFonts w:ascii="Titillium" w:eastAsia="Titillium" w:hAnsi="Titillium" w:cs="Titillium"/>
          <w:sz w:val="22"/>
        </w:rPr>
        <w:t xml:space="preserve"> representatives of other innovation support actions present in the local innovation ecosystem, including the local COST National Coordinators and the Enterprise Europe Network representatives, or the local EIT Alumni network amongst others; </w:t>
      </w:r>
    </w:p>
    <w:p w14:paraId="468C735F" w14:textId="77777777" w:rsidR="00423AF0" w:rsidRDefault="00423AF0" w:rsidP="00D90AD3">
      <w:pPr>
        <w:pStyle w:val="ListParagraph"/>
        <w:numPr>
          <w:ilvl w:val="0"/>
          <w:numId w:val="34"/>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In cases where EIT Community support is not possible, refer local stakeholders to other support networks such those run by the national and regional authorities, Enterprise Europe Network, COST, </w:t>
      </w:r>
      <w:r w:rsidRPr="636C4F36">
        <w:rPr>
          <w:rFonts w:ascii="Titillium" w:eastAsia="Titillium" w:hAnsi="Titillium" w:cs="Titillium"/>
          <w:color w:val="auto"/>
          <w:sz w:val="22"/>
          <w:lang w:val="en-US"/>
        </w:rPr>
        <w:t>or other support networks, such as those run by national and regional authorities, as well as those with which EIT has a Memorandum of Understanding (e.g. EPO, EUIPO, RCC)</w:t>
      </w:r>
      <w:r w:rsidRPr="636C4F36">
        <w:rPr>
          <w:rFonts w:ascii="Titillium" w:eastAsia="Titillium" w:hAnsi="Titillium" w:cs="Titillium"/>
        </w:rPr>
        <w:t>;</w:t>
      </w:r>
    </w:p>
    <w:p w14:paraId="1532DD47" w14:textId="77777777" w:rsidR="00423AF0" w:rsidRDefault="00423AF0" w:rsidP="00D90AD3">
      <w:pPr>
        <w:pStyle w:val="ListParagraph"/>
        <w:numPr>
          <w:ilvl w:val="0"/>
          <w:numId w:val="34"/>
        </w:numPr>
        <w:spacing w:after="160" w:line="259" w:lineRule="auto"/>
        <w:ind w:left="720"/>
        <w:jc w:val="both"/>
        <w:rPr>
          <w:rFonts w:ascii="Titillium" w:eastAsia="Titillium" w:hAnsi="Titillium" w:cs="Titillium"/>
        </w:rPr>
      </w:pPr>
      <w:r w:rsidRPr="636C4F36">
        <w:rPr>
          <w:rFonts w:ascii="Titillium" w:eastAsia="Titillium" w:hAnsi="Titillium" w:cs="Titillium"/>
          <w:sz w:val="22"/>
        </w:rPr>
        <w:t>Provide support, in close cooperation with other Hub Members and potentially other EIT Community Officers, to the EIT and the EIT KICs with navigating the local innovation landscape, including by:</w:t>
      </w:r>
    </w:p>
    <w:p w14:paraId="5B5FB77F" w14:textId="77777777" w:rsidR="00423AF0" w:rsidRDefault="00423AF0" w:rsidP="00D90AD3">
      <w:pPr>
        <w:pStyle w:val="ListParagraph"/>
        <w:numPr>
          <w:ilvl w:val="1"/>
          <w:numId w:val="34"/>
        </w:numPr>
        <w:spacing w:after="160" w:line="259" w:lineRule="auto"/>
        <w:jc w:val="both"/>
        <w:rPr>
          <w:rFonts w:ascii="Titillium" w:eastAsia="Titillium" w:hAnsi="Titillium" w:cs="Titillium"/>
        </w:rPr>
      </w:pPr>
      <w:r w:rsidRPr="636C4F36">
        <w:rPr>
          <w:rFonts w:ascii="Titillium" w:eastAsia="Titillium" w:hAnsi="Titillium" w:cs="Titillium"/>
        </w:rPr>
        <w:t>contributing to the development of EIT maps / ecosystem mapping;</w:t>
      </w:r>
    </w:p>
    <w:p w14:paraId="020F60A7" w14:textId="77777777" w:rsidR="00423AF0" w:rsidRDefault="00423AF0" w:rsidP="00D90AD3">
      <w:pPr>
        <w:pStyle w:val="ListParagraph"/>
        <w:numPr>
          <w:ilvl w:val="1"/>
          <w:numId w:val="34"/>
        </w:numPr>
        <w:spacing w:after="160" w:line="259" w:lineRule="auto"/>
        <w:jc w:val="both"/>
        <w:rPr>
          <w:rFonts w:ascii="Titillium" w:eastAsia="Titillium" w:hAnsi="Titillium" w:cs="Titillium"/>
        </w:rPr>
      </w:pPr>
      <w:r w:rsidRPr="636C4F36">
        <w:rPr>
          <w:rFonts w:ascii="Titillium" w:eastAsia="Titillium" w:hAnsi="Titillium" w:cs="Titillium"/>
        </w:rPr>
        <w:t xml:space="preserve">identifying and regularly reporting (potentially based on a template to be provided by the Regional Innovations </w:t>
      </w:r>
      <w:r w:rsidRPr="636C4F36">
        <w:rPr>
          <w:rFonts w:ascii="Titillium" w:eastAsia="Titillium" w:hAnsi="Titillium" w:cs="Titillium"/>
          <w:color w:val="auto"/>
        </w:rPr>
        <w:t xml:space="preserve">&amp; Internationalisation Cross-KIC/EIT Community </w:t>
      </w:r>
      <w:r w:rsidRPr="636C4F36">
        <w:rPr>
          <w:rFonts w:ascii="Titillium" w:eastAsia="Titillium" w:hAnsi="Titillium" w:cs="Titillium"/>
        </w:rPr>
        <w:t>Cluster) on the most pertinent challenges observed in delivering EIT activities and achieving results on a national and / or regional level, including observed political climate shifts, important regulatory changes, or other factors seen as potentially impacting the execution of EIT activities and outcomes.</w:t>
      </w:r>
    </w:p>
    <w:p w14:paraId="22FB8E28" w14:textId="77777777" w:rsidR="00423AF0" w:rsidRDefault="00423AF0" w:rsidP="00D90AD3">
      <w:pPr>
        <w:pStyle w:val="ListParagraph"/>
        <w:numPr>
          <w:ilvl w:val="1"/>
          <w:numId w:val="34"/>
        </w:numPr>
        <w:spacing w:after="160" w:line="259" w:lineRule="auto"/>
        <w:jc w:val="both"/>
        <w:rPr>
          <w:rFonts w:ascii="Titillium" w:eastAsia="Titillium" w:hAnsi="Titillium" w:cs="Titillium"/>
        </w:rPr>
      </w:pPr>
      <w:r w:rsidRPr="636C4F36">
        <w:rPr>
          <w:rFonts w:ascii="Titillium" w:eastAsia="Titillium" w:hAnsi="Titillium" w:cs="Titillium"/>
        </w:rPr>
        <w:t xml:space="preserve">identifying and regularly reporting (potentially based on a template to be provided by the Regional Innovations &amp; </w:t>
      </w:r>
      <w:proofErr w:type="spellStart"/>
      <w:r w:rsidRPr="636C4F36">
        <w:rPr>
          <w:rFonts w:ascii="Titillium" w:eastAsia="Titillium" w:hAnsi="Titillium" w:cs="Titillium"/>
        </w:rPr>
        <w:t>Internationalisaion</w:t>
      </w:r>
      <w:proofErr w:type="spellEnd"/>
      <w:r w:rsidRPr="636C4F36">
        <w:rPr>
          <w:rFonts w:ascii="Titillium" w:eastAsia="Titillium" w:hAnsi="Titillium" w:cs="Titillium"/>
        </w:rPr>
        <w:t xml:space="preserve"> Cross-KIC/</w:t>
      </w:r>
      <w:r w:rsidRPr="636C4F36">
        <w:rPr>
          <w:rFonts w:ascii="Titillium" w:eastAsia="Titillium" w:hAnsi="Titillium" w:cs="Titillium"/>
          <w:color w:val="auto"/>
        </w:rPr>
        <w:t xml:space="preserve">EIT Community </w:t>
      </w:r>
      <w:r w:rsidRPr="636C4F36">
        <w:rPr>
          <w:rFonts w:ascii="Titillium" w:eastAsia="Titillium" w:hAnsi="Titillium" w:cs="Titillium"/>
        </w:rPr>
        <w:t>Cluster) on identified unexplored potential opportunities and promising areas of growth, including shifts in policies or regulations, which encourage specific areas of promising development in terms of innovation.</w:t>
      </w:r>
    </w:p>
    <w:p w14:paraId="278963CF" w14:textId="77777777" w:rsidR="00423AF0" w:rsidRDefault="00423AF0" w:rsidP="00D90AD3">
      <w:pPr>
        <w:pStyle w:val="ListParagraph"/>
        <w:numPr>
          <w:ilvl w:val="0"/>
          <w:numId w:val="34"/>
        </w:numPr>
        <w:spacing w:after="160" w:line="259" w:lineRule="auto"/>
        <w:ind w:left="720"/>
        <w:jc w:val="both"/>
        <w:rPr>
          <w:rFonts w:ascii="Titillium" w:eastAsia="Titillium" w:hAnsi="Titillium" w:cs="Titillium"/>
        </w:rPr>
      </w:pPr>
      <w:r w:rsidRPr="62283C19">
        <w:rPr>
          <w:rFonts w:ascii="Titillium" w:eastAsia="Titillium" w:hAnsi="Titillium" w:cs="Titillium"/>
          <w:color w:val="auto"/>
          <w:sz w:val="22"/>
          <w:lang w:val="en-US"/>
        </w:rPr>
        <w:t xml:space="preserve">Coordinate the collection of local funding opportunities and relevant key national events and bring these to the attention to the EIT KICs, the Members of the EIT Community Hub Members, and other EIT KIC Offices; </w:t>
      </w:r>
    </w:p>
    <w:p w14:paraId="5CC6CD6C" w14:textId="77777777" w:rsidR="00423AF0" w:rsidRDefault="00423AF0" w:rsidP="00D90AD3">
      <w:pPr>
        <w:pStyle w:val="ListParagraph"/>
        <w:numPr>
          <w:ilvl w:val="0"/>
          <w:numId w:val="34"/>
        </w:numPr>
        <w:spacing w:after="160" w:line="259" w:lineRule="auto"/>
        <w:ind w:left="720"/>
        <w:jc w:val="both"/>
        <w:rPr>
          <w:rFonts w:ascii="Titillium" w:eastAsia="Titillium" w:hAnsi="Titillium" w:cs="Titillium"/>
        </w:rPr>
      </w:pPr>
      <w:r w:rsidRPr="77010471">
        <w:rPr>
          <w:rFonts w:ascii="Titillium" w:eastAsia="Titillium" w:hAnsi="Titillium" w:cs="Titillium"/>
        </w:rPr>
        <w:t>At the request of the EIT KICs, support any necessary updating of the local Country‐specific roadmap and support with its implementation, as appropriate;</w:t>
      </w:r>
    </w:p>
    <w:tbl>
      <w:tblPr>
        <w:tblStyle w:val="TableGrid"/>
        <w:tblW w:w="0" w:type="auto"/>
        <w:tblLook w:val="06A0" w:firstRow="1" w:lastRow="0" w:firstColumn="1" w:lastColumn="0" w:noHBand="1" w:noVBand="1"/>
      </w:tblPr>
      <w:tblGrid>
        <w:gridCol w:w="9204"/>
      </w:tblGrid>
      <w:tr w:rsidR="00423AF0" w14:paraId="53CC6B4C" w14:textId="77777777" w:rsidTr="003379AC">
        <w:trPr>
          <w:trHeight w:val="300"/>
        </w:trPr>
        <w:tc>
          <w:tcPr>
            <w:tcW w:w="9472" w:type="dxa"/>
            <w:shd w:val="clear" w:color="auto" w:fill="002060"/>
          </w:tcPr>
          <w:p w14:paraId="51C37E2D" w14:textId="77777777" w:rsidR="00423AF0" w:rsidRDefault="00423AF0" w:rsidP="003379AC">
            <w:pPr>
              <w:rPr>
                <w:rFonts w:ascii="Titillium" w:eastAsia="Titillium" w:hAnsi="Titillium" w:cs="Titillium"/>
                <w:color w:val="FFFFFF" w:themeColor="background1"/>
              </w:rPr>
            </w:pPr>
            <w:proofErr w:type="spellStart"/>
            <w:r w:rsidRPr="636C4F36">
              <w:rPr>
                <w:rFonts w:ascii="Titillium" w:eastAsia="Titillium" w:hAnsi="Titillium" w:cs="Titillium"/>
                <w:color w:val="FFFFFF" w:themeColor="background1"/>
              </w:rPr>
              <w:t>Expected</w:t>
            </w:r>
            <w:proofErr w:type="spellEnd"/>
            <w:r w:rsidRPr="636C4F36">
              <w:rPr>
                <w:rFonts w:ascii="Titillium" w:eastAsia="Titillium" w:hAnsi="Titillium" w:cs="Titillium"/>
                <w:color w:val="FFFFFF" w:themeColor="background1"/>
              </w:rPr>
              <w:t xml:space="preserve"> </w:t>
            </w:r>
            <w:proofErr w:type="spellStart"/>
            <w:r w:rsidRPr="636C4F36">
              <w:rPr>
                <w:rFonts w:ascii="Titillium" w:eastAsia="Titillium" w:hAnsi="Titillium" w:cs="Titillium"/>
                <w:color w:val="FFFFFF" w:themeColor="background1"/>
              </w:rPr>
              <w:t>deliverables</w:t>
            </w:r>
            <w:proofErr w:type="spellEnd"/>
            <w:r w:rsidRPr="636C4F36">
              <w:rPr>
                <w:rFonts w:ascii="Titillium" w:eastAsia="Titillium" w:hAnsi="Titillium" w:cs="Titillium"/>
                <w:color w:val="FFFFFF" w:themeColor="background1"/>
              </w:rPr>
              <w:t xml:space="preserve"> </w:t>
            </w:r>
          </w:p>
        </w:tc>
      </w:tr>
      <w:tr w:rsidR="00423AF0" w14:paraId="473B973B" w14:textId="77777777" w:rsidTr="003379AC">
        <w:trPr>
          <w:trHeight w:val="300"/>
        </w:trPr>
        <w:tc>
          <w:tcPr>
            <w:tcW w:w="9472" w:type="dxa"/>
          </w:tcPr>
          <w:p w14:paraId="643D327A" w14:textId="77777777" w:rsidR="00423AF0" w:rsidRDefault="00423AF0" w:rsidP="003379AC">
            <w:pPr>
              <w:pStyle w:val="ListParagraph"/>
              <w:ind w:left="0"/>
              <w:rPr>
                <w:rFonts w:ascii="Titillium" w:eastAsia="Titillium" w:hAnsi="Titillium" w:cs="Titillium"/>
                <w:u w:val="single"/>
              </w:rPr>
            </w:pPr>
            <w:proofErr w:type="spellStart"/>
            <w:r w:rsidRPr="636C4F36">
              <w:rPr>
                <w:rFonts w:ascii="Titillium" w:eastAsia="Titillium" w:hAnsi="Titillium" w:cs="Titillium"/>
                <w:u w:val="single"/>
              </w:rPr>
              <w:t>Local</w:t>
            </w:r>
            <w:proofErr w:type="spellEnd"/>
            <w:r w:rsidRPr="636C4F36">
              <w:rPr>
                <w:rFonts w:ascii="Titillium" w:eastAsia="Titillium" w:hAnsi="Titillium" w:cs="Titillium"/>
                <w:u w:val="single"/>
              </w:rPr>
              <w:t xml:space="preserve"> EIT Community </w:t>
            </w:r>
            <w:proofErr w:type="spellStart"/>
            <w:r w:rsidRPr="636C4F36">
              <w:rPr>
                <w:rFonts w:ascii="Titillium" w:eastAsia="Titillium" w:hAnsi="Titillium" w:cs="Titillium"/>
                <w:u w:val="single"/>
              </w:rPr>
              <w:t>Coordination</w:t>
            </w:r>
            <w:proofErr w:type="spellEnd"/>
            <w:r w:rsidRPr="636C4F36">
              <w:rPr>
                <w:rFonts w:ascii="Titillium" w:eastAsia="Titillium" w:hAnsi="Titillium" w:cs="Titillium"/>
                <w:u w:val="single"/>
              </w:rPr>
              <w:t>:</w:t>
            </w:r>
          </w:p>
          <w:p w14:paraId="1AC6536E" w14:textId="77777777" w:rsidR="00423AF0" w:rsidRPr="00423AF0" w:rsidRDefault="00423AF0" w:rsidP="00D90AD3">
            <w:pPr>
              <w:pStyle w:val="ListParagraph"/>
              <w:numPr>
                <w:ilvl w:val="0"/>
                <w:numId w:val="30"/>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Memorandum of Understanding signed by all EIT Community Hub Members and updated, if needed</w:t>
            </w:r>
          </w:p>
          <w:p w14:paraId="457B6606" w14:textId="77777777" w:rsidR="00423AF0" w:rsidRDefault="00423AF0" w:rsidP="00D90AD3">
            <w:pPr>
              <w:pStyle w:val="ListParagraph"/>
              <w:numPr>
                <w:ilvl w:val="0"/>
                <w:numId w:val="30"/>
              </w:numPr>
              <w:spacing w:after="0" w:line="240" w:lineRule="auto"/>
              <w:ind w:left="180" w:hanging="180"/>
              <w:rPr>
                <w:rFonts w:ascii="Titillium" w:eastAsia="Titillium" w:hAnsi="Titillium" w:cs="Titillium"/>
                <w:u w:val="single"/>
              </w:rPr>
            </w:pPr>
            <w:proofErr w:type="spellStart"/>
            <w:r w:rsidRPr="636C4F36">
              <w:rPr>
                <w:rFonts w:ascii="Titillium" w:eastAsia="Titillium" w:hAnsi="Titillium" w:cs="Titillium"/>
                <w:u w:val="single"/>
              </w:rPr>
              <w:t>Local</w:t>
            </w:r>
            <w:proofErr w:type="spellEnd"/>
            <w:r w:rsidRPr="636C4F36">
              <w:rPr>
                <w:rFonts w:ascii="Titillium" w:eastAsia="Titillium" w:hAnsi="Titillium" w:cs="Titillium"/>
                <w:u w:val="single"/>
              </w:rPr>
              <w:t xml:space="preserve"> </w:t>
            </w:r>
            <w:proofErr w:type="spellStart"/>
            <w:r w:rsidRPr="636C4F36">
              <w:rPr>
                <w:rFonts w:ascii="Titillium" w:eastAsia="Titillium" w:hAnsi="Titillium" w:cs="Titillium"/>
                <w:u w:val="single"/>
              </w:rPr>
              <w:t>intelligence</w:t>
            </w:r>
            <w:proofErr w:type="spellEnd"/>
            <w:r w:rsidRPr="636C4F36">
              <w:rPr>
                <w:rFonts w:ascii="Titillium" w:eastAsia="Titillium" w:hAnsi="Titillium" w:cs="Titillium"/>
                <w:u w:val="single"/>
              </w:rPr>
              <w:t xml:space="preserve"> </w:t>
            </w:r>
            <w:proofErr w:type="spellStart"/>
            <w:r w:rsidRPr="636C4F36">
              <w:rPr>
                <w:rFonts w:ascii="Titillium" w:eastAsia="Titillium" w:hAnsi="Titillium" w:cs="Titillium"/>
                <w:u w:val="single"/>
              </w:rPr>
              <w:t>gathering</w:t>
            </w:r>
            <w:proofErr w:type="spellEnd"/>
            <w:r w:rsidRPr="636C4F36">
              <w:rPr>
                <w:rFonts w:ascii="Titillium" w:eastAsia="Titillium" w:hAnsi="Titillium" w:cs="Titillium"/>
                <w:u w:val="single"/>
              </w:rPr>
              <w:t>:</w:t>
            </w:r>
          </w:p>
          <w:p w14:paraId="2A05BD76" w14:textId="77777777" w:rsidR="00423AF0" w:rsidRPr="00423AF0" w:rsidRDefault="00423AF0" w:rsidP="00D90AD3">
            <w:pPr>
              <w:pStyle w:val="ListParagraph"/>
              <w:numPr>
                <w:ilvl w:val="0"/>
                <w:numId w:val="30"/>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description document of the local innovation ecosystem, including needs and gaps, challenges observed in delivering EIT activities, unexplored opportunities (yearly updates)</w:t>
            </w:r>
          </w:p>
          <w:p w14:paraId="39422412" w14:textId="77777777" w:rsidR="00423AF0" w:rsidRPr="00423AF0" w:rsidRDefault="00423AF0" w:rsidP="00D90AD3">
            <w:pPr>
              <w:pStyle w:val="ListParagraph"/>
              <w:numPr>
                <w:ilvl w:val="0"/>
                <w:numId w:val="30"/>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Report the engagement with National Authorities (including Ministries, NCP, etc) and the results of highlighting the EIT added value in the National and European innovation ecosystem.</w:t>
            </w:r>
          </w:p>
          <w:p w14:paraId="396E95F7" w14:textId="77777777" w:rsidR="00423AF0" w:rsidRPr="00423AF0" w:rsidRDefault="00423AF0" w:rsidP="00D90AD3">
            <w:pPr>
              <w:pStyle w:val="ListParagraph"/>
              <w:numPr>
                <w:ilvl w:val="0"/>
                <w:numId w:val="30"/>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database of key local innovation stakeholders (including EIT Community Members, NCP, local EIT Alumni Community and other innovation support actions (organisation, contact details, and engagement, including referrals to other innovation support actions) to be considered as the EIT/local ecosystem map</w:t>
            </w:r>
          </w:p>
          <w:p w14:paraId="627BECE2" w14:textId="77777777" w:rsidR="00423AF0" w:rsidRPr="00423AF0" w:rsidRDefault="00423AF0" w:rsidP="00D90AD3">
            <w:pPr>
              <w:pStyle w:val="ListParagraph"/>
              <w:numPr>
                <w:ilvl w:val="0"/>
                <w:numId w:val="30"/>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Upon request, support to the KICs’ update of the local Country-Specific Roadmap</w:t>
            </w:r>
          </w:p>
        </w:tc>
      </w:tr>
    </w:tbl>
    <w:p w14:paraId="5425994F" w14:textId="77777777" w:rsidR="00423AF0" w:rsidRDefault="00423AF0" w:rsidP="00423AF0">
      <w:pPr>
        <w:jc w:val="both"/>
        <w:rPr>
          <w:rFonts w:ascii="Titillium" w:eastAsia="Titillium" w:hAnsi="Titillium" w:cs="Titillium"/>
        </w:rPr>
      </w:pPr>
    </w:p>
    <w:p w14:paraId="41775499" w14:textId="77777777" w:rsidR="00423AF0" w:rsidRDefault="00423AF0" w:rsidP="00423AF0">
      <w:pPr>
        <w:pStyle w:val="ListParagraph"/>
        <w:ind w:left="0"/>
        <w:jc w:val="both"/>
        <w:rPr>
          <w:rFonts w:ascii="Titillium" w:eastAsia="Titillium" w:hAnsi="Titillium" w:cs="Titillium"/>
          <w:b/>
          <w:bCs/>
        </w:rPr>
      </w:pPr>
      <w:r w:rsidRPr="636C4F36">
        <w:rPr>
          <w:rFonts w:ascii="Titillium" w:eastAsia="Titillium" w:hAnsi="Titillium" w:cs="Titillium"/>
          <w:b/>
          <w:bCs/>
        </w:rPr>
        <w:t>Communication activities:</w:t>
      </w:r>
    </w:p>
    <w:p w14:paraId="19F556D0" w14:textId="77777777" w:rsidR="00423AF0" w:rsidRDefault="00423AF0" w:rsidP="00D90AD3">
      <w:pPr>
        <w:pStyle w:val="ListParagraph"/>
        <w:numPr>
          <w:ilvl w:val="0"/>
          <w:numId w:val="35"/>
        </w:numPr>
        <w:spacing w:after="160" w:line="259" w:lineRule="auto"/>
        <w:ind w:left="720"/>
        <w:jc w:val="both"/>
        <w:rPr>
          <w:rFonts w:ascii="Titillium" w:eastAsia="Titillium" w:hAnsi="Titillium" w:cs="Titillium"/>
        </w:rPr>
      </w:pPr>
      <w:r w:rsidRPr="636C4F36">
        <w:rPr>
          <w:rFonts w:ascii="Titillium" w:eastAsia="Titillium" w:hAnsi="Titillium" w:cs="Titillium"/>
        </w:rPr>
        <w:lastRenderedPageBreak/>
        <w:t xml:space="preserve">Collect information to share through applicable channels related the EIT KICs’ activities, events, results and opportunities of interest to local stakeholders with a view to their dissemination internally and externally; </w:t>
      </w:r>
    </w:p>
    <w:p w14:paraId="74102C3F" w14:textId="77777777" w:rsidR="00423AF0" w:rsidRDefault="00423AF0" w:rsidP="00D90AD3">
      <w:pPr>
        <w:pStyle w:val="ListParagraph"/>
        <w:numPr>
          <w:ilvl w:val="0"/>
          <w:numId w:val="35"/>
        </w:numPr>
        <w:spacing w:after="160" w:line="259" w:lineRule="auto"/>
        <w:ind w:left="720"/>
        <w:jc w:val="both"/>
        <w:rPr>
          <w:rFonts w:ascii="Titillium" w:eastAsia="Titillium" w:hAnsi="Titillium" w:cs="Titillium"/>
        </w:rPr>
      </w:pPr>
      <w:r w:rsidRPr="636C4F36">
        <w:rPr>
          <w:rFonts w:ascii="Titillium" w:eastAsia="Titillium" w:hAnsi="Titillium" w:cs="Titillium"/>
        </w:rPr>
        <w:t>Coordinate and support local joint EIT Community communication efforts, including by managing and updating the EIT Community Hub website, in the local language, with information on EIT Community activities and opportunities, including dedicated sections targeted towards specific stakeholders, including, students, start-ups, national authorities and so on, as well as the EIT Community Hub social media channel;</w:t>
      </w:r>
    </w:p>
    <w:p w14:paraId="2B7E600E" w14:textId="77777777" w:rsidR="00423AF0" w:rsidRDefault="00423AF0" w:rsidP="00D90AD3">
      <w:pPr>
        <w:pStyle w:val="ListParagraph"/>
        <w:numPr>
          <w:ilvl w:val="0"/>
          <w:numId w:val="35"/>
        </w:numPr>
        <w:spacing w:after="160" w:line="259" w:lineRule="auto"/>
        <w:ind w:left="720"/>
        <w:jc w:val="both"/>
        <w:rPr>
          <w:rFonts w:ascii="Titillium" w:eastAsia="Titillium" w:hAnsi="Titillium" w:cs="Titillium"/>
        </w:rPr>
      </w:pPr>
      <w:r w:rsidRPr="636C4F36">
        <w:rPr>
          <w:rFonts w:ascii="Titillium" w:eastAsia="Titillium" w:hAnsi="Titillium" w:cs="Titillium"/>
        </w:rPr>
        <w:t>Organise a kick-off event (for newly established EIT Community Hubs)</w:t>
      </w:r>
    </w:p>
    <w:tbl>
      <w:tblPr>
        <w:tblStyle w:val="TableGrid"/>
        <w:tblW w:w="0" w:type="auto"/>
        <w:tblLook w:val="06A0" w:firstRow="1" w:lastRow="0" w:firstColumn="1" w:lastColumn="0" w:noHBand="1" w:noVBand="1"/>
      </w:tblPr>
      <w:tblGrid>
        <w:gridCol w:w="9204"/>
      </w:tblGrid>
      <w:tr w:rsidR="00423AF0" w14:paraId="35F215D4" w14:textId="77777777" w:rsidTr="003379AC">
        <w:trPr>
          <w:trHeight w:val="300"/>
        </w:trPr>
        <w:tc>
          <w:tcPr>
            <w:tcW w:w="9472" w:type="dxa"/>
            <w:shd w:val="clear" w:color="auto" w:fill="002060"/>
          </w:tcPr>
          <w:p w14:paraId="2A37B39B" w14:textId="77777777" w:rsidR="00423AF0" w:rsidRDefault="00423AF0" w:rsidP="003379AC">
            <w:pPr>
              <w:rPr>
                <w:rFonts w:ascii="Titillium" w:eastAsia="Titillium" w:hAnsi="Titillium" w:cs="Titillium"/>
                <w:color w:val="FFFFFF" w:themeColor="background1"/>
              </w:rPr>
            </w:pPr>
            <w:proofErr w:type="spellStart"/>
            <w:r w:rsidRPr="636C4F36">
              <w:rPr>
                <w:rFonts w:ascii="Titillium" w:eastAsia="Titillium" w:hAnsi="Titillium" w:cs="Titillium"/>
                <w:color w:val="FFFFFF" w:themeColor="background1"/>
              </w:rPr>
              <w:t>Expected</w:t>
            </w:r>
            <w:proofErr w:type="spellEnd"/>
            <w:r w:rsidRPr="636C4F36">
              <w:rPr>
                <w:rFonts w:ascii="Titillium" w:eastAsia="Titillium" w:hAnsi="Titillium" w:cs="Titillium"/>
                <w:color w:val="FFFFFF" w:themeColor="background1"/>
              </w:rPr>
              <w:t xml:space="preserve"> </w:t>
            </w:r>
            <w:proofErr w:type="spellStart"/>
            <w:r w:rsidRPr="636C4F36">
              <w:rPr>
                <w:rFonts w:ascii="Titillium" w:eastAsia="Titillium" w:hAnsi="Titillium" w:cs="Titillium"/>
                <w:color w:val="FFFFFF" w:themeColor="background1"/>
              </w:rPr>
              <w:t>deliverables</w:t>
            </w:r>
            <w:proofErr w:type="spellEnd"/>
            <w:r w:rsidRPr="636C4F36">
              <w:rPr>
                <w:rFonts w:ascii="Titillium" w:eastAsia="Titillium" w:hAnsi="Titillium" w:cs="Titillium"/>
                <w:color w:val="FFFFFF" w:themeColor="background1"/>
              </w:rPr>
              <w:t xml:space="preserve"> </w:t>
            </w:r>
          </w:p>
        </w:tc>
      </w:tr>
      <w:tr w:rsidR="00423AF0" w14:paraId="474534F2" w14:textId="77777777" w:rsidTr="003379AC">
        <w:trPr>
          <w:trHeight w:val="300"/>
        </w:trPr>
        <w:tc>
          <w:tcPr>
            <w:tcW w:w="9472" w:type="dxa"/>
          </w:tcPr>
          <w:p w14:paraId="233C3BA9" w14:textId="77777777" w:rsidR="00423AF0" w:rsidRPr="00423AF0" w:rsidRDefault="00423AF0" w:rsidP="00D90AD3">
            <w:pPr>
              <w:pStyle w:val="ListParagraph"/>
              <w:numPr>
                <w:ilvl w:val="0"/>
                <w:numId w:val="29"/>
              </w:numPr>
              <w:spacing w:after="60" w:line="240" w:lineRule="auto"/>
              <w:ind w:left="180" w:hanging="180"/>
              <w:rPr>
                <w:rFonts w:ascii="Titillium" w:eastAsia="Titillium" w:hAnsi="Titillium" w:cs="Titillium"/>
                <w:lang w:val="en-GB"/>
              </w:rPr>
            </w:pPr>
            <w:r w:rsidRPr="00423AF0">
              <w:rPr>
                <w:rFonts w:ascii="Titillium" w:eastAsia="Titillium" w:hAnsi="Titillium" w:cs="Titillium"/>
                <w:lang w:val="en-GB"/>
              </w:rPr>
              <w:t>Country page in English and in the local language at the eit-ris.eu website, maintained by the RI&amp;I Cluster and attracted 100 visitors yearly</w:t>
            </w:r>
          </w:p>
          <w:p w14:paraId="58C98D79" w14:textId="77777777" w:rsidR="00423AF0" w:rsidRPr="00423AF0" w:rsidRDefault="00423AF0" w:rsidP="00D90AD3">
            <w:pPr>
              <w:pStyle w:val="ListParagraph"/>
              <w:numPr>
                <w:ilvl w:val="0"/>
                <w:numId w:val="29"/>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Social media analytics showing that the EIT Community Hub LinkedIn page increased the followers at least by 25% yearly; weekly 1 post in addition to the below mandatory posts linked to the KPIs and an average of 10 engagements per post</w:t>
            </w:r>
          </w:p>
        </w:tc>
      </w:tr>
    </w:tbl>
    <w:p w14:paraId="450D0786" w14:textId="77777777" w:rsidR="00423AF0" w:rsidRDefault="00423AF0" w:rsidP="00423AF0">
      <w:pPr>
        <w:rPr>
          <w:rFonts w:ascii="Titillium" w:eastAsia="Titillium" w:hAnsi="Titillium" w:cs="Titillium"/>
        </w:rPr>
      </w:pPr>
    </w:p>
    <w:p w14:paraId="1FE670D4" w14:textId="319F765B" w:rsidR="00423AF0" w:rsidRPr="00D90AD3" w:rsidRDefault="00423AF0" w:rsidP="7295751F">
      <w:pPr>
        <w:jc w:val="both"/>
        <w:rPr>
          <w:rFonts w:asciiTheme="minorHAnsi" w:hAnsiTheme="minorHAnsi"/>
          <w:b/>
          <w:bCs/>
          <w:sz w:val="24"/>
          <w:szCs w:val="24"/>
          <w:lang w:val="en-US"/>
        </w:rPr>
      </w:pPr>
      <w:bookmarkStart w:id="86" w:name="_Toc195922398"/>
      <w:bookmarkStart w:id="87" w:name="_Toc205312702"/>
      <w:r w:rsidRPr="7295751F">
        <w:rPr>
          <w:rFonts w:asciiTheme="minorHAnsi" w:hAnsiTheme="minorHAnsi"/>
          <w:b/>
          <w:bCs/>
          <w:sz w:val="24"/>
          <w:szCs w:val="24"/>
          <w:lang w:val="en-US"/>
        </w:rPr>
        <w:t xml:space="preserve">Work package </w:t>
      </w:r>
      <w:r w:rsidR="00D90AD3" w:rsidRPr="7295751F">
        <w:rPr>
          <w:rFonts w:asciiTheme="minorHAnsi" w:hAnsiTheme="minorHAnsi"/>
          <w:b/>
          <w:bCs/>
          <w:sz w:val="24"/>
          <w:szCs w:val="24"/>
          <w:lang w:val="en-US"/>
        </w:rPr>
        <w:t>2</w:t>
      </w:r>
      <w:r w:rsidRPr="7295751F">
        <w:rPr>
          <w:rFonts w:asciiTheme="minorHAnsi" w:hAnsiTheme="minorHAnsi"/>
          <w:b/>
          <w:bCs/>
          <w:sz w:val="24"/>
          <w:szCs w:val="24"/>
          <w:lang w:val="en-US"/>
        </w:rPr>
        <w:t xml:space="preserve"> – Local Community Development for Innovation, Education, Business Creation</w:t>
      </w:r>
      <w:bookmarkEnd w:id="86"/>
      <w:bookmarkEnd w:id="87"/>
    </w:p>
    <w:p w14:paraId="668343FD" w14:textId="77777777" w:rsidR="00423AF0" w:rsidRDefault="00423AF0" w:rsidP="00D90AD3">
      <w:pPr>
        <w:pStyle w:val="ListParagraph"/>
        <w:numPr>
          <w:ilvl w:val="0"/>
          <w:numId w:val="32"/>
        </w:numPr>
        <w:spacing w:after="160" w:line="259" w:lineRule="auto"/>
        <w:jc w:val="both"/>
        <w:rPr>
          <w:rFonts w:ascii="Titillium" w:eastAsia="Titillium" w:hAnsi="Titillium" w:cs="Titillium"/>
        </w:rPr>
      </w:pPr>
      <w:r w:rsidRPr="636C4F36">
        <w:rPr>
          <w:rFonts w:ascii="Titillium" w:eastAsia="Titillium" w:hAnsi="Titillium" w:cs="Titillium"/>
        </w:rPr>
        <w:t xml:space="preserve">Serve as a centralised contact gateway for local stakeholders to the EIT Community as a whole, and refer stakeholders to contact persons within other relevant EIT KICs, best suited to support their needs and, and support applicants to RI&amp;I Cluster or KIC calls, or when EIT Community offer is not available refer to other EU innovation support actions, such as COST, EUREKA, EEN, EPO, EUIPO, etc. </w:t>
      </w:r>
    </w:p>
    <w:p w14:paraId="54D42BFB" w14:textId="77777777" w:rsidR="00423AF0" w:rsidRDefault="00423AF0" w:rsidP="00423AF0">
      <w:pPr>
        <w:pStyle w:val="ListParagraph"/>
        <w:jc w:val="both"/>
        <w:rPr>
          <w:rFonts w:ascii="Titillium" w:eastAsia="Titillium" w:hAnsi="Titillium" w:cs="Titillium"/>
        </w:rPr>
      </w:pPr>
    </w:p>
    <w:tbl>
      <w:tblPr>
        <w:tblStyle w:val="TableGrid"/>
        <w:tblW w:w="0" w:type="auto"/>
        <w:tblLook w:val="06A0" w:firstRow="1" w:lastRow="0" w:firstColumn="1" w:lastColumn="0" w:noHBand="1" w:noVBand="1"/>
      </w:tblPr>
      <w:tblGrid>
        <w:gridCol w:w="9204"/>
      </w:tblGrid>
      <w:tr w:rsidR="00423AF0" w14:paraId="50A0707A" w14:textId="77777777" w:rsidTr="003379AC">
        <w:trPr>
          <w:trHeight w:val="300"/>
        </w:trPr>
        <w:tc>
          <w:tcPr>
            <w:tcW w:w="9472" w:type="dxa"/>
            <w:shd w:val="clear" w:color="auto" w:fill="002060"/>
          </w:tcPr>
          <w:p w14:paraId="6AA82BAD" w14:textId="77777777" w:rsidR="00423AF0" w:rsidRDefault="00423AF0" w:rsidP="003379AC">
            <w:pPr>
              <w:rPr>
                <w:rFonts w:ascii="Titillium" w:eastAsia="Titillium" w:hAnsi="Titillium" w:cs="Titillium"/>
                <w:color w:val="FFFFFF" w:themeColor="background1"/>
              </w:rPr>
            </w:pPr>
            <w:proofErr w:type="spellStart"/>
            <w:r w:rsidRPr="636C4F36">
              <w:rPr>
                <w:rFonts w:ascii="Titillium" w:eastAsia="Titillium" w:hAnsi="Titillium" w:cs="Titillium"/>
                <w:color w:val="FFFFFF" w:themeColor="background1"/>
              </w:rPr>
              <w:t>Expected</w:t>
            </w:r>
            <w:proofErr w:type="spellEnd"/>
            <w:r w:rsidRPr="636C4F36">
              <w:rPr>
                <w:rFonts w:ascii="Titillium" w:eastAsia="Titillium" w:hAnsi="Titillium" w:cs="Titillium"/>
                <w:color w:val="FFFFFF" w:themeColor="background1"/>
              </w:rPr>
              <w:t xml:space="preserve"> </w:t>
            </w:r>
            <w:proofErr w:type="spellStart"/>
            <w:r w:rsidRPr="636C4F36">
              <w:rPr>
                <w:rFonts w:ascii="Titillium" w:eastAsia="Titillium" w:hAnsi="Titillium" w:cs="Titillium"/>
                <w:color w:val="FFFFFF" w:themeColor="background1"/>
              </w:rPr>
              <w:t>deliverables</w:t>
            </w:r>
            <w:proofErr w:type="spellEnd"/>
            <w:r w:rsidRPr="636C4F36">
              <w:rPr>
                <w:rFonts w:ascii="Titillium" w:eastAsia="Titillium" w:hAnsi="Titillium" w:cs="Titillium"/>
                <w:color w:val="FFFFFF" w:themeColor="background1"/>
              </w:rPr>
              <w:t xml:space="preserve"> </w:t>
            </w:r>
          </w:p>
        </w:tc>
      </w:tr>
      <w:tr w:rsidR="00423AF0" w14:paraId="44AA4885" w14:textId="77777777" w:rsidTr="003379AC">
        <w:trPr>
          <w:trHeight w:val="300"/>
        </w:trPr>
        <w:tc>
          <w:tcPr>
            <w:tcW w:w="9472" w:type="dxa"/>
          </w:tcPr>
          <w:p w14:paraId="3607CFFD" w14:textId="77777777" w:rsidR="00423AF0" w:rsidRPr="00423AF0" w:rsidRDefault="00423AF0" w:rsidP="00D90AD3">
            <w:pPr>
              <w:pStyle w:val="ListParagraph"/>
              <w:numPr>
                <w:ilvl w:val="0"/>
                <w:numId w:val="29"/>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 xml:space="preserve">Reports on submitted applications supported/facilitated by the ECO </w:t>
            </w:r>
          </w:p>
          <w:p w14:paraId="64C2E451" w14:textId="77777777" w:rsidR="00423AF0" w:rsidRPr="00423AF0" w:rsidRDefault="00423AF0" w:rsidP="00D90AD3">
            <w:pPr>
              <w:pStyle w:val="ListParagraph"/>
              <w:numPr>
                <w:ilvl w:val="0"/>
                <w:numId w:val="29"/>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 xml:space="preserve">Personalised outreach monitoring excel filled in </w:t>
            </w:r>
          </w:p>
          <w:p w14:paraId="23BDD53D" w14:textId="77777777" w:rsidR="00423AF0" w:rsidRPr="00423AF0" w:rsidRDefault="00423AF0" w:rsidP="00D90AD3">
            <w:pPr>
              <w:numPr>
                <w:ilvl w:val="1"/>
                <w:numId w:val="29"/>
              </w:numPr>
              <w:spacing w:after="0" w:line="240" w:lineRule="auto"/>
              <w:ind w:left="630" w:hanging="180"/>
              <w:rPr>
                <w:rFonts w:ascii="Titillium" w:eastAsia="Titillium" w:hAnsi="Titillium" w:cs="Titillium"/>
                <w:lang w:val="en-GB"/>
              </w:rPr>
            </w:pPr>
            <w:r w:rsidRPr="00423AF0">
              <w:rPr>
                <w:rFonts w:ascii="Titillium" w:eastAsia="Titillium" w:hAnsi="Titillium" w:cs="Titillium"/>
                <w:lang w:val="en-GB"/>
              </w:rPr>
              <w:t>Social media analytics showing 5 LinkedIn posts per RI&amp;I strands with an average 10 engagements generated</w:t>
            </w:r>
          </w:p>
        </w:tc>
      </w:tr>
    </w:tbl>
    <w:p w14:paraId="53ACFB78" w14:textId="77777777" w:rsidR="00423AF0" w:rsidRDefault="00423AF0" w:rsidP="00423AF0">
      <w:pPr>
        <w:jc w:val="both"/>
        <w:rPr>
          <w:rFonts w:ascii="Titillium" w:eastAsia="Titillium" w:hAnsi="Titillium" w:cs="Titillium"/>
        </w:rPr>
      </w:pPr>
    </w:p>
    <w:p w14:paraId="2E380CAD" w14:textId="0CA0DE54" w:rsidR="00423AF0" w:rsidRPr="00D90AD3" w:rsidRDefault="00423AF0" w:rsidP="7295751F">
      <w:pPr>
        <w:jc w:val="both"/>
        <w:rPr>
          <w:rFonts w:asciiTheme="minorHAnsi" w:hAnsiTheme="minorHAnsi"/>
          <w:b/>
          <w:bCs/>
          <w:sz w:val="24"/>
          <w:szCs w:val="24"/>
          <w:lang w:val="en-US"/>
        </w:rPr>
      </w:pPr>
      <w:bookmarkStart w:id="88" w:name="_Toc2088306111"/>
      <w:bookmarkStart w:id="89" w:name="_Toc205312703"/>
      <w:r w:rsidRPr="7295751F">
        <w:rPr>
          <w:rFonts w:asciiTheme="minorHAnsi" w:hAnsiTheme="minorHAnsi"/>
          <w:b/>
          <w:bCs/>
          <w:sz w:val="24"/>
          <w:szCs w:val="24"/>
          <w:lang w:val="en-US"/>
        </w:rPr>
        <w:t xml:space="preserve">Work package </w:t>
      </w:r>
      <w:r w:rsidR="00D90AD3" w:rsidRPr="7295751F">
        <w:rPr>
          <w:rFonts w:asciiTheme="minorHAnsi" w:hAnsiTheme="minorHAnsi"/>
          <w:b/>
          <w:bCs/>
          <w:sz w:val="24"/>
          <w:szCs w:val="24"/>
          <w:lang w:val="en-US"/>
        </w:rPr>
        <w:t>3</w:t>
      </w:r>
      <w:r w:rsidRPr="7295751F">
        <w:rPr>
          <w:rFonts w:asciiTheme="minorHAnsi" w:hAnsiTheme="minorHAnsi"/>
          <w:b/>
          <w:bCs/>
          <w:sz w:val="24"/>
          <w:szCs w:val="24"/>
          <w:lang w:val="en-US"/>
        </w:rPr>
        <w:t xml:space="preserve"> – Business Development for Financial sustainability</w:t>
      </w:r>
      <w:bookmarkEnd w:id="88"/>
      <w:bookmarkEnd w:id="89"/>
    </w:p>
    <w:p w14:paraId="374B19C5" w14:textId="77777777" w:rsidR="00423AF0" w:rsidRDefault="00423AF0" w:rsidP="00D90AD3">
      <w:pPr>
        <w:pStyle w:val="ListParagraph"/>
        <w:numPr>
          <w:ilvl w:val="0"/>
          <w:numId w:val="36"/>
        </w:numPr>
        <w:spacing w:after="160" w:line="259" w:lineRule="auto"/>
        <w:ind w:left="720"/>
        <w:jc w:val="both"/>
        <w:rPr>
          <w:rFonts w:ascii="Titillium" w:eastAsia="Titillium" w:hAnsi="Titillium" w:cs="Titillium"/>
        </w:rPr>
      </w:pPr>
      <w:r w:rsidRPr="636C4F36">
        <w:rPr>
          <w:rFonts w:ascii="Titillium" w:eastAsia="Titillium" w:hAnsi="Titillium" w:cs="Titillium"/>
        </w:rPr>
        <w:t>Coordinate the collection of local funding opportunities (public, private grants, sponsorship, investments, etc.) and bring these to the attention to the EIT KICs, the Members of the EIT Community Hub, and other EIT KIC Offices;</w:t>
      </w:r>
    </w:p>
    <w:p w14:paraId="57287AFF" w14:textId="77777777" w:rsidR="00423AF0" w:rsidRDefault="00423AF0" w:rsidP="00D90AD3">
      <w:pPr>
        <w:pStyle w:val="ListParagraph"/>
        <w:numPr>
          <w:ilvl w:val="0"/>
          <w:numId w:val="36"/>
        </w:numPr>
        <w:spacing w:after="160" w:line="259" w:lineRule="auto"/>
        <w:ind w:left="720"/>
        <w:jc w:val="both"/>
        <w:rPr>
          <w:rFonts w:ascii="Titillium" w:eastAsia="Titillium" w:hAnsi="Titillium" w:cs="Titillium"/>
        </w:rPr>
      </w:pPr>
      <w:r w:rsidRPr="1F95E526">
        <w:rPr>
          <w:rFonts w:ascii="Titillium" w:eastAsia="Titillium" w:hAnsi="Titillium" w:cs="Titillium"/>
        </w:rPr>
        <w:t xml:space="preserve">Support the fundraising (public, private funding, investment, service sold) for </w:t>
      </w:r>
      <w:proofErr w:type="spellStart"/>
      <w:r w:rsidRPr="1F95E526">
        <w:rPr>
          <w:rFonts w:ascii="Titillium" w:eastAsia="Titillium" w:hAnsi="Titillium" w:cs="Titillium"/>
        </w:rPr>
        <w:t>Jumpstarter</w:t>
      </w:r>
      <w:proofErr w:type="spellEnd"/>
      <w:r w:rsidRPr="1F95E526">
        <w:rPr>
          <w:rFonts w:ascii="Titillium" w:eastAsia="Titillium" w:hAnsi="Titillium" w:cs="Titillium"/>
        </w:rPr>
        <w:t>, Global Outreach and Regional Innovation Booster</w:t>
      </w:r>
      <w:r w:rsidRPr="1F95E526">
        <w:rPr>
          <w:rStyle w:val="FootnoteReference"/>
          <w:rFonts w:ascii="Titillium" w:eastAsia="Titillium" w:hAnsi="Titillium" w:cs="Titillium"/>
        </w:rPr>
        <w:footnoteReference w:id="5"/>
      </w:r>
      <w:r w:rsidRPr="1F95E526">
        <w:rPr>
          <w:rFonts w:ascii="Titillium" w:eastAsia="Titillium" w:hAnsi="Titillium" w:cs="Titillium"/>
        </w:rPr>
        <w:t xml:space="preserve"> supported startups/scaleups</w:t>
      </w:r>
    </w:p>
    <w:p w14:paraId="47038013" w14:textId="77777777" w:rsidR="00423AF0" w:rsidRDefault="00423AF0" w:rsidP="00D90AD3">
      <w:pPr>
        <w:pStyle w:val="ListParagraph"/>
        <w:numPr>
          <w:ilvl w:val="0"/>
          <w:numId w:val="36"/>
        </w:numPr>
        <w:spacing w:after="160" w:line="259" w:lineRule="auto"/>
        <w:ind w:left="720"/>
        <w:jc w:val="both"/>
        <w:rPr>
          <w:rFonts w:ascii="Titillium" w:eastAsia="Titillium" w:hAnsi="Titillium" w:cs="Titillium"/>
        </w:rPr>
      </w:pPr>
      <w:r w:rsidRPr="636C4F36">
        <w:rPr>
          <w:rFonts w:ascii="Titillium" w:eastAsia="Titillium" w:hAnsi="Titillium" w:cs="Titillium"/>
        </w:rPr>
        <w:lastRenderedPageBreak/>
        <w:t>Facilitate the purchase of Global Outreach Academy module or KIC innovation services, education programmes by local stakeholders</w:t>
      </w:r>
    </w:p>
    <w:p w14:paraId="6C5520E8" w14:textId="77777777" w:rsidR="00423AF0" w:rsidRDefault="00423AF0" w:rsidP="00D90AD3">
      <w:pPr>
        <w:numPr>
          <w:ilvl w:val="0"/>
          <w:numId w:val="36"/>
        </w:numPr>
        <w:spacing w:after="160" w:line="259" w:lineRule="auto"/>
        <w:ind w:left="720"/>
        <w:jc w:val="both"/>
        <w:rPr>
          <w:rFonts w:ascii="Titillium" w:eastAsia="Titillium" w:hAnsi="Titillium" w:cs="Titillium"/>
        </w:rPr>
      </w:pPr>
      <w:r w:rsidRPr="636C4F36">
        <w:rPr>
          <w:rFonts w:ascii="Titillium" w:eastAsia="Titillium" w:hAnsi="Titillium" w:cs="Titillium"/>
        </w:rPr>
        <w:t>Refer membership fee paying partners for KICs</w:t>
      </w:r>
    </w:p>
    <w:p w14:paraId="18DC537A" w14:textId="77777777" w:rsidR="00423AF0" w:rsidRDefault="00423AF0" w:rsidP="00D90AD3">
      <w:pPr>
        <w:numPr>
          <w:ilvl w:val="0"/>
          <w:numId w:val="36"/>
        </w:numPr>
        <w:spacing w:after="160" w:line="259" w:lineRule="auto"/>
        <w:ind w:left="720"/>
        <w:jc w:val="both"/>
        <w:rPr>
          <w:rFonts w:ascii="Titillium" w:eastAsia="Titillium" w:hAnsi="Titillium" w:cs="Titillium"/>
        </w:rPr>
      </w:pPr>
      <w:r w:rsidRPr="636C4F36">
        <w:rPr>
          <w:rFonts w:ascii="Titillium" w:eastAsia="Titillium" w:hAnsi="Titillium" w:cs="Titillium"/>
        </w:rPr>
        <w:t>Facilitate the co-funding to, co-investment with KIC programmes</w:t>
      </w:r>
      <w:r>
        <w:br/>
      </w:r>
    </w:p>
    <w:tbl>
      <w:tblPr>
        <w:tblStyle w:val="TableGrid"/>
        <w:tblW w:w="0" w:type="auto"/>
        <w:tblLook w:val="06A0" w:firstRow="1" w:lastRow="0" w:firstColumn="1" w:lastColumn="0" w:noHBand="1" w:noVBand="1"/>
      </w:tblPr>
      <w:tblGrid>
        <w:gridCol w:w="9204"/>
      </w:tblGrid>
      <w:tr w:rsidR="00423AF0" w14:paraId="2D23190E" w14:textId="77777777" w:rsidTr="003379AC">
        <w:trPr>
          <w:trHeight w:val="300"/>
        </w:trPr>
        <w:tc>
          <w:tcPr>
            <w:tcW w:w="9472" w:type="dxa"/>
            <w:shd w:val="clear" w:color="auto" w:fill="002060"/>
          </w:tcPr>
          <w:p w14:paraId="577B3813" w14:textId="77777777" w:rsidR="00423AF0" w:rsidRDefault="00423AF0" w:rsidP="003379AC">
            <w:pPr>
              <w:rPr>
                <w:rFonts w:ascii="Titillium" w:eastAsia="Titillium" w:hAnsi="Titillium" w:cs="Titillium"/>
                <w:color w:val="FFFFFF" w:themeColor="background1"/>
              </w:rPr>
            </w:pPr>
            <w:proofErr w:type="spellStart"/>
            <w:r w:rsidRPr="636C4F36">
              <w:rPr>
                <w:rFonts w:ascii="Titillium" w:eastAsia="Titillium" w:hAnsi="Titillium" w:cs="Titillium"/>
                <w:color w:val="FFFFFF" w:themeColor="background1"/>
              </w:rPr>
              <w:t>Expected</w:t>
            </w:r>
            <w:proofErr w:type="spellEnd"/>
            <w:r w:rsidRPr="636C4F36">
              <w:rPr>
                <w:rFonts w:ascii="Titillium" w:eastAsia="Titillium" w:hAnsi="Titillium" w:cs="Titillium"/>
                <w:color w:val="FFFFFF" w:themeColor="background1"/>
              </w:rPr>
              <w:t xml:space="preserve"> </w:t>
            </w:r>
            <w:proofErr w:type="spellStart"/>
            <w:r w:rsidRPr="636C4F36">
              <w:rPr>
                <w:rFonts w:ascii="Titillium" w:eastAsia="Titillium" w:hAnsi="Titillium" w:cs="Titillium"/>
                <w:color w:val="FFFFFF" w:themeColor="background1"/>
              </w:rPr>
              <w:t>deliverables</w:t>
            </w:r>
            <w:proofErr w:type="spellEnd"/>
            <w:r w:rsidRPr="636C4F36">
              <w:rPr>
                <w:rFonts w:ascii="Titillium" w:eastAsia="Titillium" w:hAnsi="Titillium" w:cs="Titillium"/>
                <w:color w:val="FFFFFF" w:themeColor="background1"/>
              </w:rPr>
              <w:t xml:space="preserve"> </w:t>
            </w:r>
          </w:p>
        </w:tc>
      </w:tr>
      <w:tr w:rsidR="00423AF0" w14:paraId="2591432C" w14:textId="77777777" w:rsidTr="003379AC">
        <w:trPr>
          <w:trHeight w:val="300"/>
        </w:trPr>
        <w:tc>
          <w:tcPr>
            <w:tcW w:w="9472" w:type="dxa"/>
          </w:tcPr>
          <w:p w14:paraId="3684F3FF" w14:textId="77777777" w:rsidR="00423AF0" w:rsidRPr="00423AF0" w:rsidRDefault="00423AF0" w:rsidP="00D90AD3">
            <w:pPr>
              <w:pStyle w:val="ListParagraph"/>
              <w:numPr>
                <w:ilvl w:val="0"/>
                <w:numId w:val="29"/>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funding map as excel table with local funding opportunities (source of funding, target group of the local funding and contribution to the Financial Sustainability) and yearly update</w:t>
            </w:r>
          </w:p>
        </w:tc>
      </w:tr>
    </w:tbl>
    <w:p w14:paraId="50CAB80A" w14:textId="77777777" w:rsidR="00423AF0" w:rsidRDefault="00423AF0" w:rsidP="00423AF0">
      <w:pPr>
        <w:pStyle w:val="ListParagraph"/>
        <w:ind w:hanging="360"/>
        <w:jc w:val="both"/>
        <w:rPr>
          <w:rFonts w:ascii="Titillium" w:eastAsia="Titillium" w:hAnsi="Titillium" w:cs="Titillium"/>
        </w:rPr>
      </w:pPr>
    </w:p>
    <w:p w14:paraId="0C03354C" w14:textId="4FF47EF1" w:rsidR="00423AF0" w:rsidRPr="00D90AD3" w:rsidRDefault="00423AF0" w:rsidP="7295751F">
      <w:pPr>
        <w:jc w:val="both"/>
        <w:rPr>
          <w:rFonts w:asciiTheme="minorHAnsi" w:hAnsiTheme="minorHAnsi"/>
          <w:b/>
          <w:bCs/>
          <w:sz w:val="24"/>
          <w:szCs w:val="24"/>
        </w:rPr>
      </w:pPr>
      <w:bookmarkStart w:id="90" w:name="_Toc592985769"/>
      <w:bookmarkStart w:id="91" w:name="_Toc205312704"/>
      <w:r w:rsidRPr="7295751F">
        <w:rPr>
          <w:rFonts w:asciiTheme="minorHAnsi" w:hAnsiTheme="minorHAnsi"/>
          <w:b/>
          <w:bCs/>
          <w:sz w:val="24"/>
          <w:szCs w:val="24"/>
        </w:rPr>
        <w:t xml:space="preserve">Work package </w:t>
      </w:r>
      <w:r w:rsidR="00D90AD3" w:rsidRPr="7295751F">
        <w:rPr>
          <w:rFonts w:asciiTheme="minorHAnsi" w:hAnsiTheme="minorHAnsi"/>
          <w:b/>
          <w:bCs/>
          <w:sz w:val="24"/>
          <w:szCs w:val="24"/>
        </w:rPr>
        <w:t>4</w:t>
      </w:r>
      <w:r w:rsidRPr="7295751F">
        <w:rPr>
          <w:rFonts w:asciiTheme="minorHAnsi" w:hAnsiTheme="minorHAnsi"/>
          <w:b/>
          <w:bCs/>
          <w:sz w:val="24"/>
          <w:szCs w:val="24"/>
        </w:rPr>
        <w:t xml:space="preserve"> – External fundraising for additional activities of the EIT Community Hub contributing to EIT KPIs</w:t>
      </w:r>
      <w:bookmarkEnd w:id="90"/>
      <w:bookmarkEnd w:id="91"/>
    </w:p>
    <w:p w14:paraId="72205A08" w14:textId="77777777" w:rsidR="00423AF0" w:rsidRDefault="00423AF0" w:rsidP="00D90AD3">
      <w:pPr>
        <w:pStyle w:val="ListParagraph"/>
        <w:numPr>
          <w:ilvl w:val="0"/>
          <w:numId w:val="31"/>
        </w:numPr>
        <w:spacing w:after="160" w:line="259" w:lineRule="auto"/>
        <w:ind w:left="720"/>
        <w:jc w:val="both"/>
        <w:rPr>
          <w:rFonts w:ascii="Titillium" w:eastAsia="Titillium" w:hAnsi="Titillium" w:cs="Titillium"/>
        </w:rPr>
      </w:pPr>
      <w:r w:rsidRPr="636C4F36">
        <w:rPr>
          <w:rFonts w:ascii="Titillium" w:eastAsia="Titillium" w:hAnsi="Titillium" w:cs="Titillium"/>
        </w:rPr>
        <w:t xml:space="preserve">Scout for and recommend to the EIT KICs opportunities to implement joint projects, including projects involving local authorities and institutions, financed through other EU / national / regional funds (including ESIF and IPA III) as well as local talent which could be supported via the portfolio of opportunities offered by the EIT Community; </w:t>
      </w:r>
    </w:p>
    <w:p w14:paraId="5E2AD24D" w14:textId="77777777" w:rsidR="00423AF0" w:rsidRDefault="00423AF0" w:rsidP="00D90AD3">
      <w:pPr>
        <w:pStyle w:val="ListParagraph"/>
        <w:numPr>
          <w:ilvl w:val="0"/>
          <w:numId w:val="31"/>
        </w:numPr>
        <w:spacing w:after="160" w:line="259" w:lineRule="auto"/>
        <w:ind w:left="720"/>
        <w:jc w:val="both"/>
        <w:rPr>
          <w:rFonts w:ascii="Titillium" w:eastAsia="Titillium" w:hAnsi="Titillium" w:cs="Titillium"/>
        </w:rPr>
      </w:pPr>
      <w:r w:rsidRPr="636C4F36">
        <w:rPr>
          <w:rFonts w:ascii="Titillium" w:eastAsia="Titillium" w:hAnsi="Titillium" w:cs="Titillium"/>
        </w:rPr>
        <w:t>Contribute to, support and where appropriate, with the agreements of the EIT KICs, lead any horizontal exploratory efforts towards securing co-funding opportunities, including matching KIC thematic area with the local RIS3 priorities, securing meetings with relevant national / regional authorities and facilitate the preparation for the submission of joint proposals for national / regional funding in case of general EIT Community actions;</w:t>
      </w:r>
    </w:p>
    <w:p w14:paraId="2BD2B54E" w14:textId="77777777" w:rsidR="00423AF0" w:rsidRDefault="00423AF0" w:rsidP="00D90AD3">
      <w:pPr>
        <w:pStyle w:val="ListParagraph"/>
        <w:numPr>
          <w:ilvl w:val="0"/>
          <w:numId w:val="31"/>
        </w:numPr>
        <w:spacing w:after="160" w:line="259" w:lineRule="auto"/>
        <w:ind w:left="720"/>
        <w:jc w:val="both"/>
        <w:rPr>
          <w:rFonts w:ascii="Titillium" w:eastAsia="Titillium" w:hAnsi="Titillium" w:cs="Titillium"/>
        </w:rPr>
      </w:pPr>
      <w:r w:rsidRPr="636C4F36">
        <w:rPr>
          <w:rFonts w:ascii="Titillium" w:eastAsia="Titillium" w:hAnsi="Titillium" w:cs="Titillium"/>
        </w:rPr>
        <w:t>Suggest and support, including, where appropriate and with the agreement of the EIT KICs, lead, the implementation of possible joint activities amongst the EIT KICs, to be implemented nationally and / or regionally, aligned with relevant RIS3 priorities;</w:t>
      </w:r>
    </w:p>
    <w:p w14:paraId="4D82494D" w14:textId="77777777" w:rsidR="00423AF0" w:rsidRDefault="00423AF0" w:rsidP="00423AF0">
      <w:pPr>
        <w:rPr>
          <w:rFonts w:ascii="Titillium" w:eastAsia="Titillium" w:hAnsi="Titillium" w:cs="Titillium"/>
        </w:rPr>
      </w:pPr>
    </w:p>
    <w:p w14:paraId="1A42F241" w14:textId="77777777" w:rsidR="00423AF0" w:rsidRDefault="00423AF0" w:rsidP="00423AF0">
      <w:pPr>
        <w:rPr>
          <w:rFonts w:ascii="Titillium" w:eastAsia="Titillium" w:hAnsi="Titillium" w:cs="Titillium"/>
        </w:rPr>
      </w:pPr>
    </w:p>
    <w:p w14:paraId="155474F1" w14:textId="77777777" w:rsidR="00423AF0" w:rsidRDefault="00423AF0" w:rsidP="00423AF0">
      <w:pPr>
        <w:rPr>
          <w:rFonts w:ascii="Titillium" w:eastAsia="Titillium" w:hAnsi="Titillium" w:cs="Titillium"/>
        </w:rPr>
      </w:pPr>
    </w:p>
    <w:tbl>
      <w:tblPr>
        <w:tblStyle w:val="TableGrid"/>
        <w:tblW w:w="0" w:type="auto"/>
        <w:tblLook w:val="06A0" w:firstRow="1" w:lastRow="0" w:firstColumn="1" w:lastColumn="0" w:noHBand="1" w:noVBand="1"/>
      </w:tblPr>
      <w:tblGrid>
        <w:gridCol w:w="9204"/>
      </w:tblGrid>
      <w:tr w:rsidR="00423AF0" w14:paraId="625DC136" w14:textId="77777777" w:rsidTr="003379AC">
        <w:trPr>
          <w:trHeight w:val="300"/>
        </w:trPr>
        <w:tc>
          <w:tcPr>
            <w:tcW w:w="9472" w:type="dxa"/>
            <w:shd w:val="clear" w:color="auto" w:fill="002060"/>
          </w:tcPr>
          <w:p w14:paraId="64170668" w14:textId="77777777" w:rsidR="00423AF0" w:rsidRDefault="00423AF0" w:rsidP="003379AC">
            <w:pPr>
              <w:rPr>
                <w:rFonts w:ascii="Titillium" w:eastAsia="Titillium" w:hAnsi="Titillium" w:cs="Titillium"/>
                <w:color w:val="FFFFFF" w:themeColor="background1"/>
              </w:rPr>
            </w:pPr>
            <w:proofErr w:type="spellStart"/>
            <w:r w:rsidRPr="636C4F36">
              <w:rPr>
                <w:rFonts w:ascii="Titillium" w:eastAsia="Titillium" w:hAnsi="Titillium" w:cs="Titillium"/>
                <w:color w:val="FFFFFF" w:themeColor="background1"/>
              </w:rPr>
              <w:t>Expected</w:t>
            </w:r>
            <w:proofErr w:type="spellEnd"/>
            <w:r w:rsidRPr="636C4F36">
              <w:rPr>
                <w:rFonts w:ascii="Titillium" w:eastAsia="Titillium" w:hAnsi="Titillium" w:cs="Titillium"/>
                <w:color w:val="FFFFFF" w:themeColor="background1"/>
              </w:rPr>
              <w:t xml:space="preserve"> </w:t>
            </w:r>
            <w:proofErr w:type="spellStart"/>
            <w:r w:rsidRPr="636C4F36">
              <w:rPr>
                <w:rFonts w:ascii="Titillium" w:eastAsia="Titillium" w:hAnsi="Titillium" w:cs="Titillium"/>
                <w:color w:val="FFFFFF" w:themeColor="background1"/>
              </w:rPr>
              <w:t>deliverables</w:t>
            </w:r>
            <w:proofErr w:type="spellEnd"/>
            <w:r w:rsidRPr="636C4F36">
              <w:rPr>
                <w:rFonts w:ascii="Titillium" w:eastAsia="Titillium" w:hAnsi="Titillium" w:cs="Titillium"/>
                <w:color w:val="FFFFFF" w:themeColor="background1"/>
              </w:rPr>
              <w:t xml:space="preserve"> </w:t>
            </w:r>
          </w:p>
        </w:tc>
      </w:tr>
      <w:tr w:rsidR="00423AF0" w14:paraId="50FC92DB" w14:textId="77777777" w:rsidTr="003379AC">
        <w:trPr>
          <w:trHeight w:val="300"/>
        </w:trPr>
        <w:tc>
          <w:tcPr>
            <w:tcW w:w="9472" w:type="dxa"/>
          </w:tcPr>
          <w:p w14:paraId="41CA1101" w14:textId="77777777" w:rsidR="00423AF0" w:rsidRPr="00423AF0" w:rsidRDefault="00423AF0" w:rsidP="00D90AD3">
            <w:pPr>
              <w:pStyle w:val="ListParagraph"/>
              <w:numPr>
                <w:ilvl w:val="0"/>
                <w:numId w:val="29"/>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copy of the joint project proposal submitted for ESIF or IPA III funding with value of at least 10K€</w:t>
            </w:r>
          </w:p>
          <w:p w14:paraId="7FFB2BC6" w14:textId="77777777" w:rsidR="00423AF0" w:rsidRPr="00423AF0" w:rsidRDefault="00423AF0" w:rsidP="00D90AD3">
            <w:pPr>
              <w:pStyle w:val="ListParagraph"/>
              <w:numPr>
                <w:ilvl w:val="0"/>
                <w:numId w:val="29"/>
              </w:numPr>
              <w:spacing w:after="0" w:line="240" w:lineRule="auto"/>
              <w:ind w:left="180" w:hanging="180"/>
              <w:rPr>
                <w:rFonts w:ascii="Titillium" w:eastAsia="Titillium" w:hAnsi="Titillium" w:cs="Titillium"/>
                <w:lang w:val="en-GB"/>
              </w:rPr>
            </w:pPr>
            <w:r w:rsidRPr="00423AF0">
              <w:rPr>
                <w:rFonts w:ascii="Titillium" w:eastAsia="Titillium" w:hAnsi="Titillium" w:cs="Titillium"/>
                <w:lang w:val="en-GB"/>
              </w:rPr>
              <w:t>1 copy of the submitted proposal in relation to RIS3 priorities for national / regional funding with value of at least 10K€</w:t>
            </w:r>
          </w:p>
          <w:p w14:paraId="61CB5805" w14:textId="77777777" w:rsidR="00423AF0" w:rsidRPr="00423AF0" w:rsidRDefault="00423AF0" w:rsidP="00D90AD3">
            <w:pPr>
              <w:pStyle w:val="ListParagraph"/>
              <w:numPr>
                <w:ilvl w:val="0"/>
                <w:numId w:val="29"/>
              </w:numPr>
              <w:spacing w:after="0" w:line="240" w:lineRule="auto"/>
              <w:ind w:left="180" w:hanging="180"/>
              <w:rPr>
                <w:rFonts w:ascii="Titillium" w:eastAsia="Titillium" w:hAnsi="Titillium" w:cs="Titillium"/>
                <w:lang w:val="en-GB"/>
              </w:rPr>
            </w:pPr>
          </w:p>
        </w:tc>
      </w:tr>
    </w:tbl>
    <w:p w14:paraId="049AA9A3" w14:textId="77777777" w:rsidR="00423AF0" w:rsidRDefault="00423AF0" w:rsidP="00423AF0">
      <w:pPr>
        <w:rPr>
          <w:rFonts w:ascii="Titillium" w:eastAsia="Titillium" w:hAnsi="Titillium" w:cs="Titillium"/>
        </w:rPr>
      </w:pPr>
    </w:p>
    <w:p w14:paraId="3C6A9008" w14:textId="77777777" w:rsidR="00423AF0" w:rsidRPr="00D90AD3" w:rsidRDefault="00423AF0" w:rsidP="7295751F">
      <w:pPr>
        <w:jc w:val="both"/>
        <w:rPr>
          <w:rFonts w:asciiTheme="minorHAnsi" w:hAnsiTheme="minorHAnsi"/>
          <w:b/>
          <w:bCs/>
          <w:sz w:val="24"/>
          <w:szCs w:val="24"/>
          <w:lang w:val="en-US"/>
        </w:rPr>
      </w:pPr>
      <w:bookmarkStart w:id="92" w:name="_Toc2102295572"/>
      <w:bookmarkStart w:id="93" w:name="_Toc205312705"/>
      <w:r w:rsidRPr="7295751F">
        <w:rPr>
          <w:rFonts w:asciiTheme="minorHAnsi" w:hAnsiTheme="minorHAnsi"/>
          <w:b/>
          <w:bCs/>
          <w:sz w:val="24"/>
          <w:szCs w:val="24"/>
          <w:lang w:val="en-US"/>
        </w:rPr>
        <w:t>4.2. Optional activities</w:t>
      </w:r>
      <w:bookmarkEnd w:id="92"/>
      <w:bookmarkEnd w:id="93"/>
    </w:p>
    <w:p w14:paraId="5F245720" w14:textId="7D1CB445" w:rsidR="00423AF0" w:rsidRPr="00C3384C" w:rsidRDefault="00423AF0" w:rsidP="00423AF0">
      <w:pPr>
        <w:rPr>
          <w:rFonts w:ascii="Titillium" w:eastAsia="Titillium" w:hAnsi="Titillium" w:cs="Titillium"/>
          <w:b/>
          <w:bCs/>
        </w:rPr>
      </w:pPr>
      <w:r w:rsidRPr="636C4F36">
        <w:rPr>
          <w:rFonts w:ascii="Titillium" w:eastAsia="Titillium" w:hAnsi="Titillium" w:cs="Titillium"/>
          <w:b/>
          <w:bCs/>
        </w:rPr>
        <w:t xml:space="preserve">Work package </w:t>
      </w:r>
      <w:r w:rsidR="00D90AD3">
        <w:rPr>
          <w:rFonts w:ascii="Titillium" w:eastAsia="Titillium" w:hAnsi="Titillium" w:cs="Titillium"/>
          <w:b/>
          <w:bCs/>
        </w:rPr>
        <w:t>1</w:t>
      </w:r>
      <w:r w:rsidRPr="636C4F36">
        <w:rPr>
          <w:rFonts w:ascii="Titillium" w:eastAsia="Titillium" w:hAnsi="Titillium" w:cs="Titillium"/>
          <w:b/>
          <w:bCs/>
        </w:rPr>
        <w:t xml:space="preserve"> – Administration/Coordination/Communication</w:t>
      </w:r>
    </w:p>
    <w:p w14:paraId="102F46C3" w14:textId="77777777" w:rsidR="00423AF0" w:rsidRDefault="00423AF0" w:rsidP="00D90AD3">
      <w:pPr>
        <w:pStyle w:val="ListParagraph"/>
        <w:numPr>
          <w:ilvl w:val="0"/>
          <w:numId w:val="27"/>
        </w:numPr>
        <w:spacing w:after="160" w:line="259" w:lineRule="auto"/>
        <w:rPr>
          <w:rFonts w:ascii="Titillium" w:eastAsia="Titillium" w:hAnsi="Titillium" w:cs="Titillium"/>
          <w:b/>
          <w:bCs/>
        </w:rPr>
      </w:pPr>
      <w:r w:rsidRPr="636C4F36">
        <w:rPr>
          <w:rFonts w:ascii="Titillium" w:eastAsia="Titillium" w:hAnsi="Titillium" w:cs="Titillium"/>
        </w:rPr>
        <w:lastRenderedPageBreak/>
        <w:t>Participate in national policy dialogues in relation to the knowledge triangle</w:t>
      </w:r>
      <w:r w:rsidRPr="636C4F36">
        <w:rPr>
          <w:rFonts w:ascii="Titillium" w:eastAsia="Titillium" w:hAnsi="Titillium" w:cs="Titillium"/>
          <w:b/>
          <w:bCs/>
        </w:rPr>
        <w:t xml:space="preserve"> </w:t>
      </w:r>
    </w:p>
    <w:p w14:paraId="00BA5C0B" w14:textId="77777777" w:rsidR="00423AF0" w:rsidRDefault="00423AF0" w:rsidP="00D90AD3">
      <w:pPr>
        <w:pStyle w:val="ListParagraph"/>
        <w:numPr>
          <w:ilvl w:val="0"/>
          <w:numId w:val="27"/>
        </w:numPr>
        <w:spacing w:after="160" w:line="259" w:lineRule="auto"/>
        <w:rPr>
          <w:rFonts w:ascii="Titillium" w:eastAsia="Titillium" w:hAnsi="Titillium" w:cs="Titillium"/>
        </w:rPr>
      </w:pPr>
      <w:r w:rsidRPr="636C4F36">
        <w:rPr>
          <w:rFonts w:ascii="Titillium" w:eastAsia="Titillium" w:hAnsi="Titillium" w:cs="Titillium"/>
          <w:color w:val="auto"/>
          <w:sz w:val="22"/>
          <w:lang w:val="en-US"/>
        </w:rPr>
        <w:t>Lead or support press announcements (in close alignment with the RI&amp;I)</w:t>
      </w:r>
    </w:p>
    <w:p w14:paraId="0869C420" w14:textId="77777777" w:rsidR="00423AF0" w:rsidRDefault="00423AF0" w:rsidP="00D90AD3">
      <w:pPr>
        <w:pStyle w:val="ListParagraph"/>
        <w:numPr>
          <w:ilvl w:val="0"/>
          <w:numId w:val="27"/>
        </w:numPr>
        <w:spacing w:after="160" w:line="259" w:lineRule="auto"/>
        <w:rPr>
          <w:rFonts w:ascii="Titillium" w:eastAsia="Titillium" w:hAnsi="Titillium" w:cs="Titillium"/>
        </w:rPr>
      </w:pPr>
      <w:r w:rsidRPr="636C4F36">
        <w:rPr>
          <w:rFonts w:ascii="Titillium" w:eastAsia="Titillium" w:hAnsi="Titillium" w:cs="Titillium"/>
          <w:color w:val="auto"/>
          <w:sz w:val="22"/>
          <w:lang w:val="en-US"/>
        </w:rPr>
        <w:t>Collect testimonials/impact stories</w:t>
      </w:r>
    </w:p>
    <w:p w14:paraId="5C95C6F5" w14:textId="77777777" w:rsidR="00423AF0" w:rsidRDefault="00423AF0" w:rsidP="00D90AD3">
      <w:pPr>
        <w:pStyle w:val="ListParagraph"/>
        <w:numPr>
          <w:ilvl w:val="0"/>
          <w:numId w:val="27"/>
        </w:numPr>
        <w:spacing w:after="160" w:line="259" w:lineRule="auto"/>
        <w:rPr>
          <w:rFonts w:ascii="Titillium" w:eastAsia="Titillium" w:hAnsi="Titillium" w:cs="Titillium"/>
        </w:rPr>
      </w:pPr>
      <w:r w:rsidRPr="62283C19">
        <w:rPr>
          <w:rFonts w:ascii="Titillium" w:eastAsia="Titillium" w:hAnsi="Titillium" w:cs="Titillium"/>
          <w:color w:val="auto"/>
          <w:sz w:val="22"/>
          <w:lang w:val="en-US"/>
        </w:rPr>
        <w:t>Provide data on the local EIT-supported start-ups’ development (such as new customers, external funding obtained etc.)</w:t>
      </w:r>
    </w:p>
    <w:p w14:paraId="78FE8758" w14:textId="21453F43" w:rsidR="00423AF0" w:rsidRPr="00C3384C" w:rsidRDefault="00423AF0" w:rsidP="00423AF0">
      <w:pPr>
        <w:rPr>
          <w:rFonts w:ascii="Titillium" w:eastAsia="Titillium" w:hAnsi="Titillium" w:cs="Titillium"/>
          <w:b/>
          <w:bCs/>
        </w:rPr>
      </w:pPr>
      <w:r w:rsidRPr="636C4F36">
        <w:rPr>
          <w:rFonts w:ascii="Titillium" w:eastAsia="Titillium" w:hAnsi="Titillium" w:cs="Titillium"/>
          <w:b/>
          <w:bCs/>
        </w:rPr>
        <w:t xml:space="preserve">Work package </w:t>
      </w:r>
      <w:r w:rsidR="00D90AD3">
        <w:rPr>
          <w:rFonts w:ascii="Titillium" w:eastAsia="Titillium" w:hAnsi="Titillium" w:cs="Titillium"/>
          <w:b/>
          <w:bCs/>
        </w:rPr>
        <w:t>2</w:t>
      </w:r>
      <w:r w:rsidRPr="636C4F36">
        <w:rPr>
          <w:rFonts w:ascii="Titillium" w:eastAsia="Titillium" w:hAnsi="Titillium" w:cs="Titillium"/>
          <w:b/>
          <w:bCs/>
        </w:rPr>
        <w:t xml:space="preserve"> – Local Community Development for Innovation, Education, Business Creation</w:t>
      </w:r>
    </w:p>
    <w:p w14:paraId="579B3780" w14:textId="77777777" w:rsidR="00423AF0" w:rsidRDefault="00423AF0" w:rsidP="00D90AD3">
      <w:pPr>
        <w:pStyle w:val="ListParagraph"/>
        <w:numPr>
          <w:ilvl w:val="0"/>
          <w:numId w:val="28"/>
        </w:numPr>
        <w:spacing w:after="160" w:line="259" w:lineRule="auto"/>
        <w:rPr>
          <w:rFonts w:ascii="Titillium" w:eastAsia="Titillium" w:hAnsi="Titillium" w:cs="Titillium"/>
        </w:rPr>
      </w:pPr>
      <w:r w:rsidRPr="636C4F36">
        <w:rPr>
          <w:rFonts w:ascii="Titillium" w:eastAsia="Titillium" w:hAnsi="Titillium" w:cs="Titillium"/>
        </w:rPr>
        <w:t xml:space="preserve">Facilitating the organisation of EIT Community awareness-raising events </w:t>
      </w:r>
    </w:p>
    <w:p w14:paraId="78ACFF24" w14:textId="77777777" w:rsidR="00423AF0" w:rsidRDefault="00423AF0" w:rsidP="00D90AD3">
      <w:pPr>
        <w:pStyle w:val="ListParagraph"/>
        <w:numPr>
          <w:ilvl w:val="0"/>
          <w:numId w:val="28"/>
        </w:numPr>
        <w:spacing w:after="160" w:line="259" w:lineRule="auto"/>
        <w:rPr>
          <w:rFonts w:ascii="Titillium" w:eastAsia="Titillium" w:hAnsi="Titillium" w:cs="Titillium"/>
        </w:rPr>
      </w:pPr>
      <w:r w:rsidRPr="636C4F36">
        <w:rPr>
          <w:rFonts w:ascii="Titillium" w:eastAsia="Titillium" w:hAnsi="Titillium" w:cs="Titillium"/>
        </w:rPr>
        <w:t xml:space="preserve">Presentation of RI&amp;I and KIC opportunities at external events by the EIT Community Officer or by the KIC or Cluster representative </w:t>
      </w:r>
    </w:p>
    <w:p w14:paraId="1FC4F986" w14:textId="77777777" w:rsidR="00423AF0" w:rsidRDefault="00423AF0" w:rsidP="00D90AD3">
      <w:pPr>
        <w:pStyle w:val="ListParagraph"/>
        <w:numPr>
          <w:ilvl w:val="0"/>
          <w:numId w:val="28"/>
        </w:numPr>
        <w:spacing w:after="160" w:line="259" w:lineRule="auto"/>
        <w:rPr>
          <w:rFonts w:ascii="Titillium" w:eastAsia="Titillium" w:hAnsi="Titillium" w:cs="Titillium"/>
        </w:rPr>
      </w:pPr>
      <w:r w:rsidRPr="636C4F36">
        <w:rPr>
          <w:rFonts w:ascii="Titillium" w:eastAsia="Titillium" w:hAnsi="Titillium" w:cs="Titillium"/>
        </w:rPr>
        <w:t>Website posts at external organisations facilitated by the ECO</w:t>
      </w:r>
    </w:p>
    <w:p w14:paraId="62A53D74" w14:textId="77777777" w:rsidR="00423AF0" w:rsidRDefault="00423AF0" w:rsidP="00D90AD3">
      <w:pPr>
        <w:pStyle w:val="ListParagraph"/>
        <w:numPr>
          <w:ilvl w:val="0"/>
          <w:numId w:val="28"/>
        </w:numPr>
        <w:spacing w:after="160" w:line="259" w:lineRule="auto"/>
        <w:rPr>
          <w:rFonts w:ascii="Titillium" w:eastAsia="Titillium" w:hAnsi="Titillium" w:cs="Titillium"/>
        </w:rPr>
      </w:pPr>
      <w:proofErr w:type="spellStart"/>
      <w:r w:rsidRPr="636C4F36">
        <w:rPr>
          <w:rFonts w:ascii="Titillium" w:eastAsia="Titillium" w:hAnsi="Titillium" w:cs="Titillium"/>
          <w:lang w:val="en-US"/>
        </w:rPr>
        <w:t>Personalised</w:t>
      </w:r>
      <w:proofErr w:type="spellEnd"/>
      <w:r w:rsidRPr="636C4F36">
        <w:rPr>
          <w:rFonts w:ascii="Titillium" w:eastAsia="Titillium" w:hAnsi="Titillium" w:cs="Titillium"/>
          <w:lang w:val="en-US"/>
        </w:rPr>
        <w:t xml:space="preserve"> support with 1:1 advisory service (e.g.: coaching sessions) </w:t>
      </w:r>
    </w:p>
    <w:p w14:paraId="783378AF" w14:textId="77777777" w:rsidR="00423AF0" w:rsidRDefault="00423AF0" w:rsidP="00D90AD3">
      <w:pPr>
        <w:pStyle w:val="ListParagraph"/>
        <w:numPr>
          <w:ilvl w:val="0"/>
          <w:numId w:val="28"/>
        </w:numPr>
        <w:spacing w:after="160" w:line="259" w:lineRule="auto"/>
        <w:rPr>
          <w:rFonts w:ascii="Titillium" w:eastAsia="Titillium" w:hAnsi="Titillium" w:cs="Titillium"/>
        </w:rPr>
      </w:pPr>
      <w:r w:rsidRPr="636C4F36">
        <w:rPr>
          <w:rFonts w:ascii="Titillium" w:eastAsia="Titillium" w:hAnsi="Titillium" w:cs="Titillium"/>
          <w:lang w:val="en-US"/>
        </w:rPr>
        <w:t xml:space="preserve">Promotion via newsletter posts (EIT Community Hub or third party) </w:t>
      </w:r>
    </w:p>
    <w:p w14:paraId="69A9C0D7" w14:textId="77777777" w:rsidR="00423AF0" w:rsidRDefault="00423AF0" w:rsidP="00D90AD3">
      <w:pPr>
        <w:pStyle w:val="ListParagraph"/>
        <w:numPr>
          <w:ilvl w:val="0"/>
          <w:numId w:val="28"/>
        </w:numPr>
        <w:spacing w:after="160" w:line="259" w:lineRule="auto"/>
        <w:rPr>
          <w:rFonts w:ascii="Titillium" w:eastAsia="Titillium" w:hAnsi="Titillium" w:cs="Titillium"/>
        </w:rPr>
      </w:pPr>
      <w:r w:rsidRPr="636C4F36">
        <w:rPr>
          <w:rFonts w:ascii="Titillium" w:eastAsia="Titillium" w:hAnsi="Titillium" w:cs="Titillium"/>
          <w:lang w:val="en-US"/>
        </w:rPr>
        <w:t>Public communication through programme-specific media mentions</w:t>
      </w:r>
    </w:p>
    <w:p w14:paraId="3057EE45" w14:textId="1518C42D" w:rsidR="00423AF0" w:rsidRPr="00C3384C" w:rsidRDefault="00423AF0" w:rsidP="00423AF0">
      <w:pPr>
        <w:rPr>
          <w:rFonts w:ascii="Titillium" w:eastAsia="Titillium" w:hAnsi="Titillium" w:cs="Titillium"/>
          <w:b/>
          <w:bCs/>
        </w:rPr>
      </w:pPr>
      <w:r w:rsidRPr="636C4F36">
        <w:rPr>
          <w:rFonts w:ascii="Titillium" w:eastAsia="Titillium" w:hAnsi="Titillium" w:cs="Titillium"/>
          <w:b/>
          <w:bCs/>
        </w:rPr>
        <w:t xml:space="preserve">Work package </w:t>
      </w:r>
      <w:r w:rsidR="00D90AD3">
        <w:rPr>
          <w:rFonts w:ascii="Titillium" w:eastAsia="Titillium" w:hAnsi="Titillium" w:cs="Titillium"/>
          <w:b/>
          <w:bCs/>
        </w:rPr>
        <w:t>3</w:t>
      </w:r>
      <w:r w:rsidRPr="636C4F36">
        <w:rPr>
          <w:rFonts w:ascii="Titillium" w:eastAsia="Titillium" w:hAnsi="Titillium" w:cs="Titillium"/>
          <w:b/>
          <w:bCs/>
        </w:rPr>
        <w:t xml:space="preserve"> – Business Development for Financial sustainability</w:t>
      </w:r>
    </w:p>
    <w:p w14:paraId="385C91B4" w14:textId="77777777" w:rsidR="00423AF0" w:rsidRDefault="00423AF0" w:rsidP="00D90AD3">
      <w:pPr>
        <w:pStyle w:val="ListParagraph"/>
        <w:numPr>
          <w:ilvl w:val="0"/>
          <w:numId w:val="26"/>
        </w:numPr>
        <w:spacing w:after="160" w:line="259" w:lineRule="auto"/>
        <w:rPr>
          <w:rFonts w:ascii="Titillium" w:eastAsia="Titillium" w:hAnsi="Titillium" w:cs="Titillium"/>
        </w:rPr>
      </w:pPr>
      <w:r w:rsidRPr="62283C19">
        <w:rPr>
          <w:rFonts w:ascii="Titillium" w:eastAsia="Titillium" w:hAnsi="Titillium" w:cs="Titillium"/>
        </w:rPr>
        <w:t>Arrangement of funding by the national authorities to reimburse membership fees for KIC partners</w:t>
      </w:r>
    </w:p>
    <w:p w14:paraId="524E688D" w14:textId="77777777" w:rsidR="00423AF0" w:rsidRDefault="00423AF0" w:rsidP="00D90AD3">
      <w:pPr>
        <w:pStyle w:val="ListParagraph"/>
        <w:numPr>
          <w:ilvl w:val="0"/>
          <w:numId w:val="26"/>
        </w:numPr>
        <w:spacing w:after="160" w:line="259" w:lineRule="auto"/>
        <w:rPr>
          <w:rFonts w:ascii="Titillium" w:eastAsia="Titillium" w:hAnsi="Titillium" w:cs="Titillium"/>
        </w:rPr>
      </w:pPr>
      <w:r w:rsidRPr="636C4F36">
        <w:rPr>
          <w:rFonts w:ascii="Titillium" w:eastAsia="Titillium" w:hAnsi="Titillium" w:cs="Titillium"/>
          <w:color w:val="auto"/>
          <w:sz w:val="22"/>
          <w:lang w:val="en-US"/>
        </w:rPr>
        <w:t xml:space="preserve">Contacts for funding by the national authorities to pilot the EIT Regional Innovation Booster in a country (other than Poland, Malta, Hungary, Croatia) </w:t>
      </w:r>
      <w:r w:rsidRPr="636C4F36">
        <w:rPr>
          <w:rFonts w:ascii="Titillium" w:eastAsia="Titillium" w:hAnsi="Titillium" w:cs="Titillium"/>
          <w:color w:val="auto"/>
          <w:lang w:val="en-US"/>
        </w:rPr>
        <w:t xml:space="preserve"> </w:t>
      </w:r>
    </w:p>
    <w:p w14:paraId="250DD1F9" w14:textId="77777777" w:rsidR="00423AF0" w:rsidRDefault="00423AF0" w:rsidP="00423AF0">
      <w:pPr>
        <w:rPr>
          <w:rFonts w:ascii="Titillium" w:eastAsia="Titillium" w:hAnsi="Titillium" w:cs="Titillium"/>
        </w:rPr>
      </w:pPr>
    </w:p>
    <w:p w14:paraId="1E3D14C0" w14:textId="77777777" w:rsidR="00423AF0" w:rsidRPr="00D90AD3" w:rsidRDefault="00423AF0" w:rsidP="7295751F">
      <w:pPr>
        <w:jc w:val="both"/>
        <w:rPr>
          <w:rFonts w:asciiTheme="minorHAnsi" w:hAnsiTheme="minorHAnsi"/>
          <w:szCs w:val="20"/>
          <w:lang w:val="en-US"/>
        </w:rPr>
      </w:pPr>
      <w:bookmarkStart w:id="94" w:name="_Toc2099486536"/>
      <w:bookmarkStart w:id="95" w:name="_Toc205312706"/>
      <w:r w:rsidRPr="7295751F">
        <w:rPr>
          <w:rFonts w:asciiTheme="minorHAnsi" w:hAnsiTheme="minorHAnsi"/>
          <w:szCs w:val="20"/>
          <w:lang w:val="en-US"/>
        </w:rPr>
        <w:t>Performance monitoring and assessment</w:t>
      </w:r>
      <w:bookmarkEnd w:id="94"/>
      <w:bookmarkEnd w:id="95"/>
      <w:r w:rsidRPr="7295751F">
        <w:rPr>
          <w:rFonts w:asciiTheme="minorHAnsi" w:hAnsiTheme="minorHAnsi"/>
          <w:szCs w:val="20"/>
          <w:lang w:val="en-US"/>
        </w:rPr>
        <w:t xml:space="preserve"> </w:t>
      </w:r>
    </w:p>
    <w:p w14:paraId="2851D4AE"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rPr>
        <w:t xml:space="preserve">The EIT Community Officers will be overall monitored and evaluated by the EIT Community Regional Innovation and Internationalisation (RI&amp;I) EIT Community Cluster, although they will be supported by one lead KIC in each country, which will be responsible for contracting and monitoring the EIT Community Officer. </w:t>
      </w:r>
    </w:p>
    <w:p w14:paraId="6658E343"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rPr>
        <w:t xml:space="preserve">The performance of EIT Community Officers is measured through a unified and simplified evaluation and reporting system. The EIT Community Officer prepares yearly activity plans with quarterly planning of the activities, KPIs, metrics and insert the approved activities, metrics, KPIs to the online platform provided by the RI&amp;I Cluster.  </w:t>
      </w:r>
    </w:p>
    <w:p w14:paraId="7B136930"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rPr>
        <w:t>Monthly, the ECO updates its progress within the online platform of the RI&amp;I Cluster and briefs the status of the implementation of the Activity Plan to the lead KIC SPOC in the monthly monitoring meeting.</w:t>
      </w:r>
    </w:p>
    <w:p w14:paraId="32B74D33"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rPr>
        <w:t>Quarterly, the ECO reports are collected in the format of an appealing presentation and shared with lead KIC SPOCs. The lead KIC SPOC presents the quarterly results with traffic light assessment to the SRI Cluster Steering Committee and to EIT.</w:t>
      </w:r>
    </w:p>
    <w:p w14:paraId="3D19739F"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rPr>
        <w:t xml:space="preserve">Assessment of the performance of the EIT Community Hub is both quantitative and qualitative and done quarterly, accumulating to a yearly final assessment. </w:t>
      </w:r>
    </w:p>
    <w:p w14:paraId="1475694A" w14:textId="77777777" w:rsidR="00423AF0" w:rsidRDefault="00423AF0" w:rsidP="00423AF0">
      <w:pPr>
        <w:spacing w:before="120"/>
        <w:jc w:val="both"/>
        <w:rPr>
          <w:rFonts w:ascii="Titillium" w:eastAsia="Titillium" w:hAnsi="Titillium" w:cs="Titillium"/>
          <w:u w:val="single"/>
        </w:rPr>
      </w:pPr>
      <w:r w:rsidRPr="636C4F36">
        <w:rPr>
          <w:rFonts w:ascii="Titillium" w:eastAsia="Titillium" w:hAnsi="Titillium" w:cs="Titillium"/>
          <w:u w:val="single"/>
        </w:rPr>
        <w:t>Quantitative assessment:</w:t>
      </w:r>
    </w:p>
    <w:p w14:paraId="7754FD24"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color w:val="auto"/>
        </w:rPr>
        <w:t xml:space="preserve">Green light – Very Good (Score 3) - The KPIs and metrics are overperformed and </w:t>
      </w:r>
      <w:r w:rsidRPr="636C4F36">
        <w:rPr>
          <w:rFonts w:ascii="Titillium" w:eastAsia="Titillium" w:hAnsi="Titillium" w:cs="Titillium"/>
          <w:b/>
          <w:bCs/>
          <w:color w:val="auto"/>
          <w:u w:val="single"/>
        </w:rPr>
        <w:t>above</w:t>
      </w:r>
      <w:r w:rsidRPr="636C4F36">
        <w:rPr>
          <w:rFonts w:ascii="Titillium" w:eastAsia="Titillium" w:hAnsi="Titillium" w:cs="Titillium"/>
          <w:color w:val="auto"/>
        </w:rPr>
        <w:t xml:space="preserve"> the minimum targets.</w:t>
      </w:r>
    </w:p>
    <w:p w14:paraId="1280564D"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color w:val="auto"/>
        </w:rPr>
        <w:lastRenderedPageBreak/>
        <w:t xml:space="preserve">Yellow light – Fair (Score 2)- The KPIs and metrics are </w:t>
      </w:r>
      <w:r w:rsidRPr="636C4F36">
        <w:rPr>
          <w:rFonts w:ascii="Titillium" w:eastAsia="Titillium" w:hAnsi="Titillium" w:cs="Titillium"/>
          <w:b/>
          <w:bCs/>
          <w:color w:val="auto"/>
          <w:u w:val="single"/>
        </w:rPr>
        <w:t>equal to</w:t>
      </w:r>
      <w:r w:rsidRPr="636C4F36">
        <w:rPr>
          <w:rFonts w:ascii="Titillium" w:eastAsia="Titillium" w:hAnsi="Titillium" w:cs="Titillium"/>
          <w:color w:val="auto"/>
        </w:rPr>
        <w:t xml:space="preserve"> the minimum targets.</w:t>
      </w:r>
    </w:p>
    <w:p w14:paraId="607B8423"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color w:val="auto"/>
        </w:rPr>
        <w:t xml:space="preserve">Red light – Weak (Score 1)– The KPIs and metrics are </w:t>
      </w:r>
      <w:r w:rsidRPr="636C4F36">
        <w:rPr>
          <w:rFonts w:ascii="Titillium" w:eastAsia="Titillium" w:hAnsi="Titillium" w:cs="Titillium"/>
          <w:b/>
          <w:bCs/>
          <w:color w:val="auto"/>
          <w:u w:val="single"/>
        </w:rPr>
        <w:t>below</w:t>
      </w:r>
      <w:r w:rsidRPr="636C4F36">
        <w:rPr>
          <w:rFonts w:ascii="Titillium" w:eastAsia="Titillium" w:hAnsi="Titillium" w:cs="Titillium"/>
          <w:color w:val="auto"/>
        </w:rPr>
        <w:t xml:space="preserve"> the minimum targets, and the deviation is not justified a</w:t>
      </w:r>
      <w:r w:rsidRPr="636C4F36">
        <w:rPr>
          <w:rFonts w:ascii="Titillium" w:eastAsia="Titillium" w:hAnsi="Titillium" w:cs="Titillium"/>
        </w:rPr>
        <w:t>nd there was no mitigation plan provided.</w:t>
      </w:r>
    </w:p>
    <w:p w14:paraId="7D892D72"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rPr>
        <w:t>The quantitative assessment with the traffic light evaluation is done for each KPIs and metrics. And the average traffic light scores will provide a quantitative traffic light assessment.</w:t>
      </w:r>
    </w:p>
    <w:p w14:paraId="12A15C7D" w14:textId="77777777" w:rsidR="00423AF0" w:rsidRDefault="00423AF0" w:rsidP="00423AF0">
      <w:pPr>
        <w:spacing w:before="120"/>
        <w:jc w:val="both"/>
        <w:rPr>
          <w:rFonts w:ascii="Titillium" w:eastAsia="Titillium" w:hAnsi="Titillium" w:cs="Titillium"/>
          <w:u w:val="single"/>
        </w:rPr>
      </w:pPr>
      <w:r w:rsidRPr="636C4F36">
        <w:rPr>
          <w:rFonts w:ascii="Titillium" w:eastAsia="Titillium" w:hAnsi="Titillium" w:cs="Titillium"/>
          <w:u w:val="single"/>
        </w:rPr>
        <w:t>Qualitative assessment:</w:t>
      </w:r>
    </w:p>
    <w:p w14:paraId="5365D471"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rPr>
        <w:t xml:space="preserve">For each KPI and for the Administration/Coordination/Communication activities, a qualitative assessment is performed as well. </w:t>
      </w:r>
    </w:p>
    <w:p w14:paraId="0493D343"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rPr>
        <w:t xml:space="preserve">Green light – Very Good (Score 3) - The implementation of the activities to reach KPIs and metrics in a very good quality, convincingly and successfully. Optional activities were also carried out. The deliverables and reports provided all the information and evidence needed, and there are no concerns or areas of weakness. </w:t>
      </w:r>
    </w:p>
    <w:p w14:paraId="361C6D82"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rPr>
        <w:t xml:space="preserve">Yellow light – Fair (Score 2) – The activities were carried out in line with the objectives per target, although some small improvements could be still made. No optional activity was carried out. The </w:t>
      </w:r>
      <w:r w:rsidRPr="636C4F36">
        <w:rPr>
          <w:rFonts w:ascii="Titillium" w:eastAsia="Titillium" w:hAnsi="Titillium" w:cs="Titillium"/>
          <w:sz w:val="22"/>
        </w:rPr>
        <w:t xml:space="preserve">report gives clear information on all or nearly all of the activities carried out. </w:t>
      </w:r>
    </w:p>
    <w:p w14:paraId="7BA1E898"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sz w:val="22"/>
        </w:rPr>
        <w:t>Red light – Weak (Score 1) – The activities failed to reach the objectives of the KPIs or cannot be judged due to missing or incomplete information. No optional activity was carried out. The content of the report does not address the questions asked or gives very little relevant information.</w:t>
      </w:r>
    </w:p>
    <w:p w14:paraId="0D64FD4B"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rPr>
        <w:t>A red light in the annual performance review in either the quantitative or qualitative assessments will need to be corrected during the following year. Two consecutive red light annual assessments will be evaluated by the Steering Committee of the KIC Cluster and might lead to cancellation of the contract.</w:t>
      </w:r>
    </w:p>
    <w:p w14:paraId="7655D346"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rPr>
        <w:t xml:space="preserve">Approved annual EIT Community Officer reports are to be added as annexes to the EIT Community Hub Annual report by the Lead KIC to provide an up-to-date description of the existing distribution and role of Community Hubs to the EIT. </w:t>
      </w:r>
    </w:p>
    <w:p w14:paraId="55972B00" w14:textId="77777777" w:rsidR="00423AF0" w:rsidRDefault="00423AF0" w:rsidP="00423AF0">
      <w:pPr>
        <w:spacing w:before="120"/>
        <w:jc w:val="both"/>
        <w:rPr>
          <w:rFonts w:ascii="Titillium" w:eastAsia="Titillium" w:hAnsi="Titillium" w:cs="Titillium"/>
        </w:rPr>
      </w:pPr>
    </w:p>
    <w:p w14:paraId="23598188" w14:textId="77777777" w:rsidR="00423AF0" w:rsidRPr="00D90AD3" w:rsidRDefault="00423AF0" w:rsidP="7295751F">
      <w:pPr>
        <w:jc w:val="both"/>
        <w:rPr>
          <w:rFonts w:asciiTheme="minorHAnsi" w:hAnsiTheme="minorHAnsi"/>
          <w:b/>
          <w:bCs/>
          <w:sz w:val="24"/>
          <w:szCs w:val="24"/>
          <w:lang w:val="en-US"/>
        </w:rPr>
      </w:pPr>
      <w:bookmarkStart w:id="96" w:name="_Toc925962201"/>
      <w:bookmarkStart w:id="97" w:name="_Toc205312707"/>
      <w:r w:rsidRPr="7295751F">
        <w:rPr>
          <w:rFonts w:asciiTheme="minorHAnsi" w:hAnsiTheme="minorHAnsi"/>
          <w:b/>
          <w:bCs/>
          <w:sz w:val="24"/>
          <w:szCs w:val="24"/>
          <w:lang w:val="en-US"/>
        </w:rPr>
        <w:t>Appendix 1. Glossary</w:t>
      </w:r>
      <w:bookmarkEnd w:id="96"/>
      <w:bookmarkEnd w:id="97"/>
    </w:p>
    <w:p w14:paraId="3BCB12C7"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b/>
          <w:bCs/>
        </w:rPr>
        <w:t>Local EIT Community Stakeholder</w:t>
      </w:r>
      <w:r w:rsidRPr="636C4F36">
        <w:rPr>
          <w:rFonts w:ascii="Titillium" w:eastAsia="Titillium" w:hAnsi="Titillium" w:cs="Titillium"/>
        </w:rPr>
        <w:t>– All stakeholders having a connection to EIT (partners, supported organisations, student Alumni, local authorities, etc.) in the country.</w:t>
      </w:r>
    </w:p>
    <w:p w14:paraId="789C23FF"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b/>
          <w:bCs/>
        </w:rPr>
        <w:t xml:space="preserve">EIT Community Hub Member </w:t>
      </w:r>
      <w:r w:rsidRPr="636C4F36">
        <w:rPr>
          <w:rFonts w:ascii="Titillium" w:eastAsia="Titillium" w:hAnsi="Titillium" w:cs="Titillium"/>
        </w:rPr>
        <w:t>– Signatory entities of the governance MoU among KIC CLCs, EIT KIC local representatives and EIT national contact point (NCP).</w:t>
      </w:r>
    </w:p>
    <w:p w14:paraId="191DE753"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b/>
          <w:bCs/>
        </w:rPr>
        <w:t>EIT KIC partner</w:t>
      </w:r>
      <w:r w:rsidRPr="636C4F36">
        <w:rPr>
          <w:rFonts w:ascii="Titillium" w:eastAsia="Titillium" w:hAnsi="Titillium" w:cs="Titillium"/>
        </w:rPr>
        <w:t xml:space="preserve"> – Official partner of an EIT KIC</w:t>
      </w:r>
    </w:p>
    <w:p w14:paraId="2B400E08"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b/>
          <w:bCs/>
        </w:rPr>
        <w:lastRenderedPageBreak/>
        <w:t xml:space="preserve">Lead </w:t>
      </w:r>
      <w:r w:rsidRPr="636C4F36">
        <w:rPr>
          <w:rFonts w:ascii="Titillium" w:eastAsia="Titillium" w:hAnsi="Titillium" w:cs="Titillium"/>
        </w:rPr>
        <w:t xml:space="preserve">– An individual or organization that has shown interest in a programme, product or service who can be considered a potential customer (paying member, service purchaser for KICs or Global Outreach, investors or funding agency for startups/scaleups). The lead is not yet a confirmed customer, but a promising prospect due to their initial engagement with a meeting between relevant representatives  (warm introduction) or by filling out dedicated form expressing interest.  </w:t>
      </w:r>
    </w:p>
    <w:p w14:paraId="53670932"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b/>
          <w:bCs/>
        </w:rPr>
        <w:t xml:space="preserve">Key Performance Indicators (KPIs) </w:t>
      </w:r>
      <w:r w:rsidRPr="636C4F36">
        <w:rPr>
          <w:rFonts w:ascii="Titillium" w:eastAsia="Titillium" w:hAnsi="Titillium" w:cs="Titillium"/>
        </w:rPr>
        <w:t>– The measurable indicators tied to strategic objectives of the EIT Community Officer</w:t>
      </w:r>
    </w:p>
    <w:p w14:paraId="32D89729"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b/>
          <w:bCs/>
        </w:rPr>
        <w:t>Metrics</w:t>
      </w:r>
      <w:r w:rsidRPr="636C4F36">
        <w:rPr>
          <w:rFonts w:ascii="Titillium" w:eastAsia="Titillium" w:hAnsi="Titillium" w:cs="Titillium"/>
        </w:rPr>
        <w:t xml:space="preserve"> – Measurable value that indicates the performance of the activities leading to reaching KPIs or executing mandatory activities.</w:t>
      </w:r>
    </w:p>
    <w:p w14:paraId="3A2BCB20" w14:textId="77777777" w:rsidR="00423AF0" w:rsidRDefault="00423AF0" w:rsidP="00423AF0">
      <w:pPr>
        <w:spacing w:before="120"/>
        <w:jc w:val="both"/>
        <w:rPr>
          <w:rFonts w:ascii="Titillium" w:eastAsia="Titillium" w:hAnsi="Titillium" w:cs="Titillium"/>
        </w:rPr>
      </w:pPr>
      <w:r w:rsidRPr="636C4F36">
        <w:rPr>
          <w:rFonts w:ascii="Titillium" w:eastAsia="Titillium" w:hAnsi="Titillium" w:cs="Titillium"/>
          <w:b/>
          <w:bCs/>
        </w:rPr>
        <w:t>Deliverable</w:t>
      </w:r>
      <w:r w:rsidRPr="636C4F36">
        <w:rPr>
          <w:rFonts w:ascii="Titillium" w:eastAsia="Titillium" w:hAnsi="Titillium" w:cs="Titillium"/>
        </w:rPr>
        <w:t xml:space="preserve"> – Concrete evidence produced to prove that an activity has been carried out as required (document, log, lists, etc.).</w:t>
      </w:r>
    </w:p>
    <w:p w14:paraId="3D1C4C30" w14:textId="77777777" w:rsidR="00423AF0" w:rsidRDefault="00423AF0" w:rsidP="00423AF0">
      <w:pPr>
        <w:spacing w:before="120"/>
        <w:jc w:val="both"/>
        <w:rPr>
          <w:rFonts w:ascii="Titillium" w:eastAsia="Titillium" w:hAnsi="Titillium" w:cs="Titillium"/>
        </w:rPr>
      </w:pPr>
    </w:p>
    <w:p w14:paraId="14796E4C" w14:textId="5439D193" w:rsidR="00825D72" w:rsidRPr="00D90AD3" w:rsidRDefault="00825D72" w:rsidP="7295751F">
      <w:pPr>
        <w:jc w:val="both"/>
        <w:rPr>
          <w:rFonts w:asciiTheme="minorHAnsi" w:hAnsiTheme="minorHAnsi"/>
          <w:b/>
          <w:bCs/>
          <w:sz w:val="24"/>
          <w:szCs w:val="24"/>
          <w:lang w:val="en-US"/>
        </w:rPr>
      </w:pPr>
      <w:r w:rsidRPr="7295751F">
        <w:rPr>
          <w:rFonts w:asciiTheme="minorHAnsi" w:hAnsiTheme="minorHAnsi"/>
          <w:b/>
          <w:bCs/>
          <w:sz w:val="24"/>
          <w:szCs w:val="24"/>
          <w:lang w:val="en-US"/>
        </w:rPr>
        <w:t>Appendix 2. EIT Core KPIs</w:t>
      </w:r>
    </w:p>
    <w:p w14:paraId="7DF644BB" w14:textId="0E134637" w:rsidR="00423AF0" w:rsidRDefault="00423AF0" w:rsidP="00423AF0">
      <w:pPr>
        <w:jc w:val="both"/>
        <w:rPr>
          <w:rFonts w:ascii="Titillium" w:eastAsia="Titillium" w:hAnsi="Titillium" w:cs="Titillium"/>
        </w:rPr>
      </w:pPr>
      <w:r w:rsidRPr="1F95E526">
        <w:rPr>
          <w:rFonts w:ascii="Titillium" w:eastAsia="Titillium" w:hAnsi="Titillium" w:cs="Titillium"/>
        </w:rPr>
        <w:t xml:space="preserve">The  </w:t>
      </w:r>
      <w:hyperlink r:id="rId30" w:history="1">
        <w:r w:rsidRPr="1F95E526">
          <w:rPr>
            <w:rStyle w:val="Hyperlink"/>
            <w:rFonts w:ascii="Titillium" w:eastAsia="Titillium" w:hAnsi="Titillium" w:cs="Titillium"/>
          </w:rPr>
          <w:t>EIT Simplified Impact Framework | EIT</w:t>
        </w:r>
      </w:hyperlink>
      <w:r w:rsidRPr="1F95E526">
        <w:rPr>
          <w:rFonts w:ascii="Titillium" w:eastAsia="Titillium" w:hAnsi="Titillium" w:cs="Titillium"/>
        </w:rPr>
        <w:t xml:space="preserve"> lists the EIT Key Performance Indicators. There are 37 EIT KPIs relevant to all KICs and 61 specific societal impact KPIs to be achieved by all 9 KICs in their thematic areas. EIT Community Officers are expected to raise non-EIT funds for local activities in the country directly or indirectly contributing to the EIT core KPIs listed</w:t>
      </w:r>
      <w:r w:rsidRPr="1F95E526">
        <w:rPr>
          <w:rStyle w:val="FootnoteReference"/>
          <w:rFonts w:ascii="Titillium" w:eastAsia="Titillium" w:hAnsi="Titillium" w:cs="Titillium"/>
        </w:rPr>
        <w:footnoteReference w:id="6"/>
      </w:r>
      <w:r w:rsidRPr="1F95E526">
        <w:rPr>
          <w:rFonts w:ascii="Titillium" w:eastAsia="Titillium" w:hAnsi="Titillium" w:cs="Titillium"/>
        </w:rPr>
        <w:t xml:space="preserve"> below and not overlapping with activities in WP1 and WP2: </w:t>
      </w:r>
    </w:p>
    <w:p w14:paraId="6BB7A83A" w14:textId="77777777" w:rsidR="00423AF0" w:rsidRDefault="00423AF0" w:rsidP="00423AF0">
      <w:pPr>
        <w:jc w:val="both"/>
        <w:rPr>
          <w:rFonts w:ascii="Titillium" w:eastAsia="Titillium" w:hAnsi="Titillium" w:cs="Titillium"/>
        </w:rPr>
      </w:pPr>
      <w:r w:rsidRPr="636C4F36">
        <w:rPr>
          <w:rFonts w:ascii="Titillium" w:eastAsia="Titillium" w:hAnsi="Titillium" w:cs="Titillium"/>
        </w:rPr>
        <w:t>[EITHE02] Innovations launched on the market with sales revenue of at least 10 000 EUR documented.</w:t>
      </w:r>
    </w:p>
    <w:p w14:paraId="7FBDACD5" w14:textId="77777777" w:rsidR="00423AF0" w:rsidRDefault="00423AF0" w:rsidP="00423AF0">
      <w:pPr>
        <w:jc w:val="both"/>
        <w:rPr>
          <w:rFonts w:ascii="Titillium" w:eastAsia="Titillium" w:hAnsi="Titillium" w:cs="Titillium"/>
        </w:rPr>
      </w:pPr>
      <w:r w:rsidRPr="636C4F36">
        <w:rPr>
          <w:rFonts w:ascii="Titillium" w:eastAsia="Titillium" w:hAnsi="Titillium" w:cs="Titillium"/>
        </w:rPr>
        <w:t>[EITHE04] Start-ups created for the purpose of an innovation project to organise and support the development of an asset having financial transactions of at least 10 000 EUR.</w:t>
      </w:r>
    </w:p>
    <w:p w14:paraId="2A9C59A5" w14:textId="77777777" w:rsidR="00423AF0" w:rsidRDefault="00423AF0" w:rsidP="00423AF0">
      <w:pPr>
        <w:shd w:val="clear" w:color="auto" w:fill="FFFFFF" w:themeFill="background1"/>
        <w:spacing w:before="220" w:after="220"/>
        <w:rPr>
          <w:rFonts w:ascii="Titillium" w:eastAsia="Titillium" w:hAnsi="Titillium" w:cs="Titillium"/>
        </w:rPr>
      </w:pPr>
      <w:r w:rsidRPr="636C4F36">
        <w:rPr>
          <w:rFonts w:ascii="Titillium" w:eastAsia="Titillium" w:hAnsi="Titillium" w:cs="Titillium"/>
        </w:rPr>
        <w:t xml:space="preserve">[EITHE05] Start-ups created by students enrolled and graduates from EIT-labelled programmes </w:t>
      </w:r>
    </w:p>
    <w:p w14:paraId="4B27E8EE" w14:textId="77777777" w:rsidR="00423AF0" w:rsidRDefault="00423AF0" w:rsidP="00423AF0">
      <w:pPr>
        <w:shd w:val="clear" w:color="auto" w:fill="FFFFFF" w:themeFill="background1"/>
        <w:spacing w:before="220" w:after="220"/>
        <w:rPr>
          <w:rFonts w:ascii="Titillium" w:eastAsia="Titillium" w:hAnsi="Titillium" w:cs="Titillium"/>
        </w:rPr>
      </w:pPr>
      <w:r w:rsidRPr="636C4F36">
        <w:rPr>
          <w:rFonts w:ascii="Titillium" w:eastAsia="Titillium" w:hAnsi="Titillium" w:cs="Titillium"/>
        </w:rPr>
        <w:t>[EITHE06] Investment attracted by KIC-supported start-ups and scale-ups</w:t>
      </w:r>
    </w:p>
    <w:p w14:paraId="551FD212" w14:textId="77777777" w:rsidR="00423AF0" w:rsidRDefault="00423AF0" w:rsidP="00423AF0">
      <w:pPr>
        <w:shd w:val="clear" w:color="auto" w:fill="FFFFFF" w:themeFill="background1"/>
        <w:spacing w:before="220" w:after="220"/>
        <w:rPr>
          <w:rFonts w:ascii="Titillium" w:eastAsia="Titillium" w:hAnsi="Titillium" w:cs="Titillium"/>
        </w:rPr>
      </w:pPr>
      <w:r w:rsidRPr="636C4F36">
        <w:rPr>
          <w:rFonts w:ascii="Titillium" w:eastAsia="Titillium" w:hAnsi="Titillium" w:cs="Titillium"/>
        </w:rPr>
        <w:t xml:space="preserve">[EITHE07] Graduates from EIT-labelled programmes </w:t>
      </w:r>
    </w:p>
    <w:p w14:paraId="40CACDB0" w14:textId="77777777" w:rsidR="00423AF0" w:rsidRDefault="00423AF0" w:rsidP="00423AF0">
      <w:pPr>
        <w:shd w:val="clear" w:color="auto" w:fill="FFFFFF" w:themeFill="background1"/>
        <w:spacing w:before="220" w:after="220"/>
        <w:rPr>
          <w:rFonts w:ascii="Titillium" w:eastAsia="Titillium" w:hAnsi="Titillium" w:cs="Titillium"/>
        </w:rPr>
      </w:pPr>
      <w:r w:rsidRPr="636C4F36">
        <w:rPr>
          <w:rFonts w:ascii="Titillium" w:eastAsia="Titillium" w:hAnsi="Titillium" w:cs="Titillium"/>
        </w:rPr>
        <w:t xml:space="preserve">[EITHE11] Financial Sustainability (FS) </w:t>
      </w:r>
    </w:p>
    <w:p w14:paraId="7DE7D990" w14:textId="5EA79903" w:rsidR="00A702AE" w:rsidRPr="00D90AD3" w:rsidRDefault="00423AF0" w:rsidP="00D90AD3">
      <w:pPr>
        <w:shd w:val="clear" w:color="auto" w:fill="FFFFFF" w:themeFill="background1"/>
        <w:spacing w:before="220" w:after="220"/>
        <w:rPr>
          <w:rFonts w:ascii="Titillium" w:eastAsia="Titillium" w:hAnsi="Titillium" w:cs="Titillium"/>
        </w:rPr>
      </w:pPr>
      <w:r w:rsidRPr="636C4F36">
        <w:rPr>
          <w:rFonts w:ascii="Titillium" w:eastAsia="Titillium" w:hAnsi="Titillium" w:cs="Titillium"/>
        </w:rPr>
        <w:t xml:space="preserve">[EITHE22] Number of new and established KIC Partners from RIS countries </w:t>
      </w:r>
    </w:p>
    <w:p w14:paraId="04B60C6A" w14:textId="77777777" w:rsidR="00A702AE" w:rsidRDefault="00A702AE" w:rsidP="02ED53A9">
      <w:pPr>
        <w:spacing w:after="160" w:line="276" w:lineRule="auto"/>
        <w:rPr>
          <w:rFonts w:ascii="Titillium" w:eastAsia="Titillium" w:hAnsi="Titillium" w:cs="Titillium"/>
          <w:color w:val="034EA2" w:themeColor="text2"/>
          <w:sz w:val="60"/>
          <w:szCs w:val="60"/>
        </w:rPr>
      </w:pPr>
    </w:p>
    <w:p w14:paraId="13A57879" w14:textId="404DF29D" w:rsidR="00CE35E1" w:rsidRDefault="00CE35E1" w:rsidP="00423AF0">
      <w:pPr>
        <w:pStyle w:val="EITUMHeading1"/>
        <w:pageBreakBefore/>
        <w:numPr>
          <w:ilvl w:val="0"/>
          <w:numId w:val="0"/>
        </w:numPr>
        <w:sectPr w:rsidR="00CE35E1" w:rsidSect="003C4B1C">
          <w:pgSz w:w="12240" w:h="15840"/>
          <w:pgMar w:top="1701" w:right="1701" w:bottom="1985" w:left="1325" w:header="567" w:footer="444" w:gutter="0"/>
          <w:pgNumType w:start="56"/>
          <w:cols w:space="720"/>
          <w:titlePg/>
          <w:docGrid w:linePitch="272"/>
        </w:sectPr>
      </w:pPr>
    </w:p>
    <w:p w14:paraId="45959CE1" w14:textId="155A7E5D" w:rsidR="02ED53A9" w:rsidRDefault="02ED53A9"/>
    <w:p w14:paraId="335E152E" w14:textId="64E27825" w:rsidR="3C31C39E" w:rsidRPr="00D742C8" w:rsidRDefault="606CB99F" w:rsidP="00D742C8">
      <w:pPr>
        <w:pStyle w:val="EITUMHeading1"/>
        <w:numPr>
          <w:ilvl w:val="0"/>
          <w:numId w:val="0"/>
        </w:numPr>
      </w:pPr>
      <w:bookmarkStart w:id="98" w:name="_Toc206684780"/>
      <w:r>
        <w:t>Annex</w:t>
      </w:r>
      <w:r w:rsidR="013BFB03">
        <w:t xml:space="preserve"> 6. Proven experience of the proposed expert(s)</w:t>
      </w:r>
      <w:bookmarkEnd w:id="98"/>
      <w:r w:rsidR="013BFB03">
        <w:t xml:space="preserve"> </w:t>
      </w:r>
      <w:r w:rsidR="542D2515">
        <w:t xml:space="preserve"> </w:t>
      </w:r>
    </w:p>
    <w:p w14:paraId="5E994862" w14:textId="1EFF1337" w:rsidR="02ED53A9" w:rsidRPr="0075724A" w:rsidRDefault="0075724A" w:rsidP="02ED53A9">
      <w:pPr>
        <w:spacing w:after="160" w:line="276" w:lineRule="auto"/>
        <w:rPr>
          <w:rFonts w:eastAsia="Arial MT" w:cs="Arial MT"/>
        </w:rPr>
      </w:pPr>
      <w:r w:rsidRPr="0075724A">
        <w:rPr>
          <w:rFonts w:eastAsia="Arial MT" w:cs="Arial MT"/>
        </w:rPr>
        <w:t xml:space="preserve">If there are two proposed experts, you have to include the proven experience of both </w:t>
      </w:r>
      <w:r>
        <w:rPr>
          <w:rFonts w:eastAsia="Arial MT" w:cs="Arial MT"/>
        </w:rPr>
        <w:t>experts</w:t>
      </w:r>
      <w:r w:rsidRPr="0075724A">
        <w:rPr>
          <w:rFonts w:eastAsia="Arial MT" w:cs="Arial MT"/>
        </w:rPr>
        <w:t xml:space="preserve">. </w:t>
      </w:r>
    </w:p>
    <w:tbl>
      <w:tblPr>
        <w:tblStyle w:val="TableGrid"/>
        <w:tblW w:w="12277" w:type="dxa"/>
        <w:tblLayout w:type="fixed"/>
        <w:tblLook w:val="06A0" w:firstRow="1" w:lastRow="0" w:firstColumn="1" w:lastColumn="0" w:noHBand="1" w:noVBand="1"/>
      </w:tblPr>
      <w:tblGrid>
        <w:gridCol w:w="8217"/>
        <w:gridCol w:w="1984"/>
        <w:gridCol w:w="2076"/>
      </w:tblGrid>
      <w:tr w:rsidR="02ED53A9" w14:paraId="2341EDE6" w14:textId="77777777" w:rsidTr="008A25E0">
        <w:trPr>
          <w:trHeight w:val="300"/>
        </w:trPr>
        <w:tc>
          <w:tcPr>
            <w:tcW w:w="8217" w:type="dxa"/>
          </w:tcPr>
          <w:p w14:paraId="035126D8" w14:textId="5190B0A4" w:rsidR="19D5B8D5" w:rsidRDefault="19D5B8D5" w:rsidP="02ED53A9">
            <w:pPr>
              <w:ind w:left="720"/>
              <w:rPr>
                <w:rFonts w:eastAsia="Arial MT" w:cs="Arial MT"/>
              </w:rPr>
            </w:pPr>
            <w:proofErr w:type="spellStart"/>
            <w:r w:rsidRPr="02ED53A9">
              <w:rPr>
                <w:rFonts w:eastAsia="Arial MT" w:cs="Arial MT"/>
              </w:rPr>
              <w:t>Proven</w:t>
            </w:r>
            <w:proofErr w:type="spellEnd"/>
            <w:r w:rsidRPr="02ED53A9">
              <w:rPr>
                <w:rFonts w:eastAsia="Arial MT" w:cs="Arial MT"/>
              </w:rPr>
              <w:t xml:space="preserve"> </w:t>
            </w:r>
            <w:proofErr w:type="spellStart"/>
            <w:r w:rsidRPr="02ED53A9">
              <w:rPr>
                <w:rFonts w:eastAsia="Arial MT" w:cs="Arial MT"/>
              </w:rPr>
              <w:t>experience</w:t>
            </w:r>
            <w:proofErr w:type="spellEnd"/>
          </w:p>
        </w:tc>
        <w:tc>
          <w:tcPr>
            <w:tcW w:w="4060" w:type="dxa"/>
            <w:gridSpan w:val="2"/>
          </w:tcPr>
          <w:p w14:paraId="549F02E8" w14:textId="08B6B054" w:rsidR="19D5B8D5" w:rsidRDefault="19D5B8D5" w:rsidP="02ED53A9">
            <w:pPr>
              <w:rPr>
                <w:rFonts w:eastAsia="Arial MT" w:cs="Arial MT"/>
              </w:rPr>
            </w:pPr>
            <w:proofErr w:type="spellStart"/>
            <w:r w:rsidRPr="02ED53A9">
              <w:rPr>
                <w:rFonts w:eastAsia="Arial MT" w:cs="Arial MT"/>
              </w:rPr>
              <w:t>Number</w:t>
            </w:r>
            <w:proofErr w:type="spellEnd"/>
            <w:r w:rsidRPr="02ED53A9">
              <w:rPr>
                <w:rFonts w:eastAsia="Arial MT" w:cs="Arial MT"/>
              </w:rPr>
              <w:t xml:space="preserve"> </w:t>
            </w:r>
            <w:proofErr w:type="spellStart"/>
            <w:r w:rsidRPr="02ED53A9">
              <w:rPr>
                <w:rFonts w:eastAsia="Arial MT" w:cs="Arial MT"/>
              </w:rPr>
              <w:t>of</w:t>
            </w:r>
            <w:proofErr w:type="spellEnd"/>
            <w:r w:rsidRPr="02ED53A9">
              <w:rPr>
                <w:rFonts w:eastAsia="Arial MT" w:cs="Arial MT"/>
              </w:rPr>
              <w:t xml:space="preserve"> </w:t>
            </w:r>
            <w:proofErr w:type="spellStart"/>
            <w:r w:rsidRPr="02ED53A9">
              <w:rPr>
                <w:rFonts w:eastAsia="Arial MT" w:cs="Arial MT"/>
              </w:rPr>
              <w:t>experiences</w:t>
            </w:r>
            <w:proofErr w:type="spellEnd"/>
          </w:p>
        </w:tc>
      </w:tr>
      <w:tr w:rsidR="004B03DE" w14:paraId="7C471571" w14:textId="77777777" w:rsidTr="008A25E0">
        <w:trPr>
          <w:trHeight w:val="300"/>
        </w:trPr>
        <w:tc>
          <w:tcPr>
            <w:tcW w:w="8217" w:type="dxa"/>
          </w:tcPr>
          <w:p w14:paraId="5A41645A" w14:textId="59CB5B3F" w:rsidR="004B03DE" w:rsidRPr="00CF5CFC" w:rsidRDefault="004B03DE" w:rsidP="00D90AD3">
            <w:pPr>
              <w:pStyle w:val="ListParagraph"/>
              <w:numPr>
                <w:ilvl w:val="0"/>
                <w:numId w:val="10"/>
              </w:numPr>
              <w:rPr>
                <w:rFonts w:eastAsia="Arial MT" w:cs="Arial MT"/>
                <w:szCs w:val="20"/>
                <w:lang w:val="en-GB"/>
              </w:rPr>
            </w:pPr>
            <w:r w:rsidRPr="004B03DE">
              <w:rPr>
                <w:rFonts w:eastAsia="Arial MT" w:cs="Arial MT"/>
                <w:lang w:val="en-GB"/>
              </w:rPr>
              <w:t xml:space="preserve">Proven experience of previous or current </w:t>
            </w:r>
            <w:r w:rsidR="0075724A">
              <w:rPr>
                <w:rFonts w:eastAsia="Arial MT" w:cs="Arial MT"/>
                <w:lang w:val="en-GB"/>
              </w:rPr>
              <w:t xml:space="preserve">awarded </w:t>
            </w:r>
            <w:r w:rsidRPr="004B03DE">
              <w:rPr>
                <w:rFonts w:eastAsia="Arial MT" w:cs="Arial MT"/>
                <w:lang w:val="en-GB"/>
              </w:rPr>
              <w:t>European Union projects/tenders (like Horizon Europe, Digital Europe, or Interreg) including ESIF and IPA programmes with involvement of the proposed expert(s).</w:t>
            </w:r>
          </w:p>
        </w:tc>
        <w:tc>
          <w:tcPr>
            <w:tcW w:w="1984" w:type="dxa"/>
          </w:tcPr>
          <w:p w14:paraId="1298A349" w14:textId="5041CA8E" w:rsidR="004B03DE" w:rsidRPr="008A25E0" w:rsidRDefault="004B03DE" w:rsidP="02ED53A9">
            <w:pPr>
              <w:rPr>
                <w:rFonts w:eastAsia="Arial MT" w:cs="Arial MT"/>
                <w:lang w:val="en-GB"/>
              </w:rPr>
            </w:pPr>
            <w:r w:rsidRPr="008A25E0">
              <w:rPr>
                <w:rFonts w:eastAsia="Arial MT" w:cs="Arial MT"/>
                <w:lang w:val="en-GB"/>
              </w:rPr>
              <w:t xml:space="preserve">Number of </w:t>
            </w:r>
            <w:r w:rsidR="0075724A">
              <w:rPr>
                <w:rFonts w:eastAsia="Arial MT" w:cs="Arial MT"/>
                <w:lang w:val="en-GB"/>
              </w:rPr>
              <w:t xml:space="preserve">awarded </w:t>
            </w:r>
            <w:r w:rsidRPr="008A25E0">
              <w:rPr>
                <w:rFonts w:eastAsia="Arial MT" w:cs="Arial MT"/>
                <w:lang w:val="en-GB"/>
              </w:rPr>
              <w:t>projects/tenders</w:t>
            </w:r>
            <w:r w:rsidR="008A25E0">
              <w:rPr>
                <w:rFonts w:eastAsia="Arial MT" w:cs="Arial MT"/>
                <w:lang w:val="en-GB"/>
              </w:rPr>
              <w:t>:</w:t>
            </w:r>
          </w:p>
        </w:tc>
        <w:tc>
          <w:tcPr>
            <w:tcW w:w="2076" w:type="dxa"/>
          </w:tcPr>
          <w:p w14:paraId="1E6344D3" w14:textId="33ED2A00" w:rsidR="004B03DE" w:rsidRDefault="008A25E0" w:rsidP="02ED53A9">
            <w:pPr>
              <w:rPr>
                <w:rFonts w:eastAsia="Arial MT" w:cs="Arial MT"/>
                <w:lang w:val="en-GB"/>
              </w:rPr>
            </w:pPr>
            <w:r w:rsidRPr="008A25E0">
              <w:rPr>
                <w:rFonts w:eastAsia="Arial MT" w:cs="Arial MT"/>
                <w:lang w:val="en-GB"/>
              </w:rPr>
              <w:t>Out of them, how many are related with business creation</w:t>
            </w:r>
            <w:r>
              <w:rPr>
                <w:rFonts w:eastAsia="Arial MT" w:cs="Arial MT"/>
                <w:lang w:val="en-GB"/>
              </w:rPr>
              <w:t xml:space="preserve">, </w:t>
            </w:r>
            <w:r w:rsidRPr="008A25E0">
              <w:rPr>
                <w:rFonts w:eastAsia="Arial MT" w:cs="Arial MT"/>
                <w:lang w:val="en-GB"/>
              </w:rPr>
              <w:t>innovation</w:t>
            </w:r>
            <w:r>
              <w:rPr>
                <w:rFonts w:eastAsia="Arial MT" w:cs="Arial MT"/>
                <w:lang w:val="en-GB"/>
              </w:rPr>
              <w:t xml:space="preserve"> or </w:t>
            </w:r>
            <w:r w:rsidRPr="008A25E0">
              <w:rPr>
                <w:rFonts w:eastAsia="Arial MT" w:cs="Arial MT"/>
                <w:lang w:val="en-GB"/>
              </w:rPr>
              <w:t>education</w:t>
            </w:r>
            <w:r>
              <w:rPr>
                <w:rFonts w:eastAsia="Arial MT" w:cs="Arial MT"/>
                <w:lang w:val="en-GB"/>
              </w:rPr>
              <w:t>?</w:t>
            </w:r>
          </w:p>
          <w:p w14:paraId="7179935B" w14:textId="00DAD44C" w:rsidR="008A25E0" w:rsidRPr="008A25E0" w:rsidRDefault="008A25E0" w:rsidP="02ED53A9">
            <w:pPr>
              <w:rPr>
                <w:rFonts w:eastAsia="Arial MT" w:cs="Arial MT"/>
                <w:lang w:val="en-GB"/>
              </w:rPr>
            </w:pPr>
          </w:p>
        </w:tc>
      </w:tr>
      <w:tr w:rsidR="02ED53A9" w14:paraId="4FA6BFED" w14:textId="77777777" w:rsidTr="008A25E0">
        <w:trPr>
          <w:trHeight w:val="300"/>
        </w:trPr>
        <w:tc>
          <w:tcPr>
            <w:tcW w:w="8217" w:type="dxa"/>
          </w:tcPr>
          <w:p w14:paraId="19C8D435" w14:textId="44245106" w:rsidR="19D5B8D5" w:rsidRDefault="19D5B8D5" w:rsidP="00D90AD3">
            <w:pPr>
              <w:pStyle w:val="ListParagraph"/>
              <w:numPr>
                <w:ilvl w:val="0"/>
                <w:numId w:val="10"/>
              </w:numPr>
              <w:rPr>
                <w:rFonts w:eastAsia="Calibri Light" w:cs="Calibri Light"/>
                <w:szCs w:val="20"/>
                <w:lang w:val="en-GB"/>
              </w:rPr>
            </w:pPr>
            <w:r w:rsidRPr="02ED53A9">
              <w:rPr>
                <w:rFonts w:eastAsia="Calibri Light" w:cs="Calibri Light"/>
                <w:szCs w:val="20"/>
                <w:lang w:val="en-GB"/>
              </w:rPr>
              <w:t>Number of prior events organised with the involvement of EIT KICs (or comparable European innovation bodies) participated by the proposed expert(s) as speaker or moderator.</w:t>
            </w:r>
          </w:p>
        </w:tc>
        <w:tc>
          <w:tcPr>
            <w:tcW w:w="4060" w:type="dxa"/>
            <w:gridSpan w:val="2"/>
          </w:tcPr>
          <w:p w14:paraId="170931D2" w14:textId="2C7107FC" w:rsidR="02ED53A9" w:rsidRPr="00CF5CFC" w:rsidRDefault="02ED53A9" w:rsidP="02ED53A9">
            <w:pPr>
              <w:rPr>
                <w:rFonts w:eastAsia="Arial MT" w:cs="Arial MT"/>
                <w:u w:val="single"/>
                <w:lang w:val="en-GB"/>
              </w:rPr>
            </w:pPr>
          </w:p>
        </w:tc>
      </w:tr>
      <w:tr w:rsidR="02ED53A9" w14:paraId="24DEB23F" w14:textId="77777777" w:rsidTr="008A25E0">
        <w:trPr>
          <w:trHeight w:val="300"/>
        </w:trPr>
        <w:tc>
          <w:tcPr>
            <w:tcW w:w="8217" w:type="dxa"/>
          </w:tcPr>
          <w:p w14:paraId="668D3755" w14:textId="63FF11DD" w:rsidR="79112454" w:rsidRPr="008417BB" w:rsidRDefault="008A25E0" w:rsidP="00D90AD3">
            <w:pPr>
              <w:pStyle w:val="ListParagraph"/>
              <w:numPr>
                <w:ilvl w:val="0"/>
                <w:numId w:val="10"/>
              </w:numPr>
              <w:rPr>
                <w:rFonts w:eastAsia="Calibri Light" w:cs="Calibri Light"/>
                <w:szCs w:val="20"/>
                <w:lang w:val="en-GB"/>
              </w:rPr>
            </w:pPr>
            <w:r w:rsidRPr="008417BB">
              <w:rPr>
                <w:rFonts w:eastAsia="Calibri Light" w:cs="Calibri Light"/>
                <w:szCs w:val="20"/>
                <w:lang w:val="en-GB"/>
              </w:rPr>
              <w:t>Proven experience managing an EIT RIS Hub (or equivalent innovation body) in Bulgaria with involvement of the proposed expert(s).</w:t>
            </w:r>
          </w:p>
        </w:tc>
        <w:tc>
          <w:tcPr>
            <w:tcW w:w="4060" w:type="dxa"/>
            <w:gridSpan w:val="2"/>
          </w:tcPr>
          <w:p w14:paraId="6FD3BAF5" w14:textId="15B57FEE" w:rsidR="02ED53A9" w:rsidRPr="008A25E0" w:rsidRDefault="02ED53A9" w:rsidP="02ED53A9">
            <w:pPr>
              <w:rPr>
                <w:rFonts w:eastAsia="Arial MT" w:cs="Arial MT"/>
                <w:u w:val="single"/>
                <w:lang w:val="en-GB"/>
              </w:rPr>
            </w:pPr>
          </w:p>
        </w:tc>
      </w:tr>
    </w:tbl>
    <w:p w14:paraId="5EDB5E44" w14:textId="51D89FA8" w:rsidR="02ED53A9" w:rsidRDefault="02ED53A9" w:rsidP="02ED53A9">
      <w:pPr>
        <w:spacing w:after="160" w:line="276" w:lineRule="auto"/>
        <w:rPr>
          <w:rFonts w:ascii="Titillium" w:eastAsia="Titillium" w:hAnsi="Titillium" w:cs="Titillium"/>
          <w:color w:val="034EA2" w:themeColor="text2"/>
          <w:sz w:val="24"/>
          <w:szCs w:val="24"/>
        </w:rPr>
      </w:pPr>
    </w:p>
    <w:p w14:paraId="48647669" w14:textId="7897E74D" w:rsidR="19D5B8D5" w:rsidRDefault="19D5B8D5" w:rsidP="02ED53A9">
      <w:pPr>
        <w:spacing w:after="160" w:line="276" w:lineRule="auto"/>
        <w:rPr>
          <w:rFonts w:ascii="Titillium" w:eastAsia="Titillium" w:hAnsi="Titillium" w:cs="Titillium"/>
          <w:color w:val="034EA2" w:themeColor="text2"/>
          <w:sz w:val="24"/>
          <w:szCs w:val="24"/>
        </w:rPr>
      </w:pPr>
      <w:r w:rsidRPr="02ED53A9">
        <w:rPr>
          <w:rFonts w:ascii="Titillium" w:eastAsia="Titillium" w:hAnsi="Titillium" w:cs="Titillium"/>
          <w:color w:val="034EA2" w:themeColor="text2"/>
          <w:sz w:val="24"/>
          <w:szCs w:val="24"/>
        </w:rPr>
        <w:t>Please provide the required</w:t>
      </w:r>
      <w:r w:rsidR="481E93E1" w:rsidRPr="02ED53A9">
        <w:rPr>
          <w:rFonts w:ascii="Titillium" w:eastAsia="Titillium" w:hAnsi="Titillium" w:cs="Titillium"/>
          <w:color w:val="034EA2" w:themeColor="text2"/>
          <w:sz w:val="24"/>
          <w:szCs w:val="24"/>
        </w:rPr>
        <w:t xml:space="preserve"> information</w:t>
      </w:r>
      <w:r w:rsidRPr="02ED53A9">
        <w:rPr>
          <w:rFonts w:ascii="Titillium" w:eastAsia="Titillium" w:hAnsi="Titillium" w:cs="Titillium"/>
          <w:color w:val="034EA2" w:themeColor="text2"/>
          <w:sz w:val="24"/>
          <w:szCs w:val="24"/>
        </w:rPr>
        <w:t xml:space="preserve"> for all experiences</w:t>
      </w:r>
    </w:p>
    <w:p w14:paraId="79552C00" w14:textId="37A95466" w:rsidR="549B2FF9" w:rsidRDefault="008A25E0" w:rsidP="02ED53A9">
      <w:pPr>
        <w:tabs>
          <w:tab w:val="left" w:pos="4820"/>
        </w:tabs>
        <w:spacing w:after="160" w:line="259" w:lineRule="auto"/>
        <w:jc w:val="both"/>
        <w:rPr>
          <w:rFonts w:eastAsia="Arial MT" w:cs="Arial MT"/>
          <w:u w:val="single"/>
        </w:rPr>
      </w:pPr>
      <w:r w:rsidRPr="008A25E0">
        <w:rPr>
          <w:rFonts w:eastAsia="Arial MT" w:cs="Arial MT"/>
        </w:rPr>
        <w:lastRenderedPageBreak/>
        <w:t>1.Proven experience of previous or current European Union projects/tenders (like Horizon Europe, Digital Europe, or Interreg) including ESIF and IPA programmes with involvement of the proposed expert(s).</w:t>
      </w:r>
      <w:r w:rsidR="185FAFB1" w:rsidRPr="008A25E0">
        <w:rPr>
          <w:rFonts w:eastAsia="Arial MT" w:cs="Arial MT"/>
        </w:rPr>
        <w:t xml:space="preserve"> (please copy-paste the table)</w:t>
      </w:r>
      <w:r w:rsidR="621A1313" w:rsidRPr="008A25E0">
        <w:rPr>
          <w:rFonts w:eastAsia="Arial MT" w:cs="Arial MT"/>
        </w:rPr>
        <w:t>:</w:t>
      </w:r>
      <w:r w:rsidR="621A1313" w:rsidRPr="02ED53A9">
        <w:rPr>
          <w:rFonts w:eastAsia="Arial MT" w:cs="Arial MT"/>
          <w:u w:val="single"/>
        </w:rPr>
        <w:t xml:space="preserve"> </w:t>
      </w:r>
    </w:p>
    <w:tbl>
      <w:tblPr>
        <w:tblStyle w:val="TableGrid"/>
        <w:tblW w:w="0" w:type="auto"/>
        <w:tblLayout w:type="fixed"/>
        <w:tblLook w:val="06A0" w:firstRow="1" w:lastRow="0" w:firstColumn="1" w:lastColumn="0" w:noHBand="1" w:noVBand="1"/>
      </w:tblPr>
      <w:tblGrid>
        <w:gridCol w:w="4830"/>
        <w:gridCol w:w="7320"/>
      </w:tblGrid>
      <w:tr w:rsidR="02ED53A9" w14:paraId="4C367255" w14:textId="77777777" w:rsidTr="02ED53A9">
        <w:trPr>
          <w:trHeight w:val="300"/>
        </w:trPr>
        <w:tc>
          <w:tcPr>
            <w:tcW w:w="4830" w:type="dxa"/>
          </w:tcPr>
          <w:p w14:paraId="2EE3F930" w14:textId="1C62E8F9" w:rsidR="191AFEA8" w:rsidRDefault="191AFEA8" w:rsidP="02ED53A9">
            <w:pPr>
              <w:rPr>
                <w:rFonts w:eastAsia="Arial MT" w:cs="Arial MT"/>
              </w:rPr>
            </w:pPr>
            <w:r w:rsidRPr="02ED53A9">
              <w:rPr>
                <w:rFonts w:eastAsia="Arial MT" w:cs="Arial MT"/>
              </w:rPr>
              <w:t>Project/Tender title:</w:t>
            </w:r>
          </w:p>
        </w:tc>
        <w:tc>
          <w:tcPr>
            <w:tcW w:w="7320" w:type="dxa"/>
          </w:tcPr>
          <w:p w14:paraId="5B095212" w14:textId="0B6D3594" w:rsidR="02ED53A9" w:rsidRDefault="02ED53A9" w:rsidP="02ED53A9">
            <w:pPr>
              <w:rPr>
                <w:rFonts w:eastAsia="Arial MT" w:cs="Arial MT"/>
              </w:rPr>
            </w:pPr>
          </w:p>
        </w:tc>
      </w:tr>
      <w:tr w:rsidR="02ED53A9" w14:paraId="1F89768A" w14:textId="77777777" w:rsidTr="02ED53A9">
        <w:trPr>
          <w:trHeight w:val="300"/>
        </w:trPr>
        <w:tc>
          <w:tcPr>
            <w:tcW w:w="4830" w:type="dxa"/>
          </w:tcPr>
          <w:p w14:paraId="1F93F084" w14:textId="045A4DBE" w:rsidR="317FBFB6" w:rsidRDefault="317FBFB6" w:rsidP="02ED53A9">
            <w:pPr>
              <w:rPr>
                <w:rFonts w:eastAsia="Arial MT" w:cs="Arial MT"/>
              </w:rPr>
            </w:pPr>
            <w:r w:rsidRPr="02ED53A9">
              <w:rPr>
                <w:rFonts w:eastAsia="Arial MT" w:cs="Arial MT"/>
              </w:rPr>
              <w:t>Funding/</w:t>
            </w:r>
            <w:proofErr w:type="spellStart"/>
            <w:r w:rsidRPr="02ED53A9">
              <w:rPr>
                <w:rFonts w:eastAsia="Arial MT" w:cs="Arial MT"/>
              </w:rPr>
              <w:t>procuring</w:t>
            </w:r>
            <w:proofErr w:type="spellEnd"/>
            <w:r w:rsidRPr="02ED53A9">
              <w:rPr>
                <w:rFonts w:eastAsia="Arial MT" w:cs="Arial MT"/>
              </w:rPr>
              <w:t xml:space="preserve"> organisation:</w:t>
            </w:r>
          </w:p>
        </w:tc>
        <w:tc>
          <w:tcPr>
            <w:tcW w:w="7320" w:type="dxa"/>
          </w:tcPr>
          <w:p w14:paraId="68988A44" w14:textId="62DF4C03" w:rsidR="02ED53A9" w:rsidRDefault="02ED53A9" w:rsidP="02ED53A9">
            <w:pPr>
              <w:rPr>
                <w:rFonts w:eastAsia="Arial MT" w:cs="Arial MT"/>
              </w:rPr>
            </w:pPr>
          </w:p>
        </w:tc>
      </w:tr>
      <w:tr w:rsidR="02ED53A9" w14:paraId="269447EB" w14:textId="77777777" w:rsidTr="02ED53A9">
        <w:trPr>
          <w:trHeight w:val="300"/>
        </w:trPr>
        <w:tc>
          <w:tcPr>
            <w:tcW w:w="4830" w:type="dxa"/>
          </w:tcPr>
          <w:p w14:paraId="2FCCF3B2" w14:textId="17AAC07B" w:rsidR="317FBFB6" w:rsidRPr="00CF5CFC" w:rsidRDefault="317FBFB6" w:rsidP="02ED53A9">
            <w:pPr>
              <w:rPr>
                <w:rFonts w:eastAsia="Arial MT" w:cs="Arial MT"/>
                <w:lang w:val="en-GB"/>
              </w:rPr>
            </w:pPr>
            <w:r w:rsidRPr="00CF5CFC">
              <w:rPr>
                <w:rFonts w:eastAsia="Arial MT" w:cs="Arial MT"/>
                <w:lang w:val="en-GB"/>
              </w:rPr>
              <w:t xml:space="preserve">Type of funding/procuring </w:t>
            </w:r>
            <w:r w:rsidR="1A63EA08" w:rsidRPr="00CF5CFC">
              <w:rPr>
                <w:rFonts w:eastAsia="Arial MT" w:cs="Arial MT"/>
                <w:lang w:val="en-GB"/>
              </w:rPr>
              <w:t>organisation</w:t>
            </w:r>
            <w:r w:rsidRPr="00CF5CFC">
              <w:rPr>
                <w:rFonts w:eastAsia="Arial MT" w:cs="Arial MT"/>
                <w:lang w:val="en-GB"/>
              </w:rPr>
              <w:t xml:space="preserve"> (please underline):</w:t>
            </w:r>
          </w:p>
        </w:tc>
        <w:tc>
          <w:tcPr>
            <w:tcW w:w="7320" w:type="dxa"/>
          </w:tcPr>
          <w:p w14:paraId="336B5753" w14:textId="4CD175C1" w:rsidR="317FBFB6" w:rsidRPr="008A25E0" w:rsidRDefault="008A25E0" w:rsidP="02ED53A9">
            <w:pPr>
              <w:rPr>
                <w:rFonts w:eastAsia="Arial MT" w:cs="Arial MT"/>
                <w:lang w:val="en-GB"/>
              </w:rPr>
            </w:pPr>
            <w:r w:rsidRPr="008A25E0">
              <w:rPr>
                <w:rFonts w:eastAsia="Arial MT" w:cs="Arial MT"/>
                <w:lang w:val="en-GB"/>
              </w:rPr>
              <w:t xml:space="preserve">European, </w:t>
            </w:r>
            <w:r w:rsidR="317FBFB6" w:rsidRPr="008A25E0">
              <w:rPr>
                <w:rFonts w:eastAsia="Arial MT" w:cs="Arial MT"/>
                <w:lang w:val="en-GB"/>
              </w:rPr>
              <w:t>national</w:t>
            </w:r>
            <w:r w:rsidRPr="008A25E0">
              <w:rPr>
                <w:rFonts w:eastAsia="Arial MT" w:cs="Arial MT"/>
                <w:lang w:val="en-GB"/>
              </w:rPr>
              <w:t xml:space="preserve">, </w:t>
            </w:r>
            <w:r w:rsidR="317FBFB6" w:rsidRPr="008A25E0">
              <w:rPr>
                <w:rFonts w:eastAsia="Arial MT" w:cs="Arial MT"/>
                <w:lang w:val="en-GB"/>
              </w:rPr>
              <w:t>regional</w:t>
            </w:r>
            <w:r w:rsidRPr="008A25E0">
              <w:rPr>
                <w:rFonts w:eastAsia="Arial MT" w:cs="Arial MT"/>
                <w:lang w:val="en-GB"/>
              </w:rPr>
              <w:t xml:space="preserve"> or</w:t>
            </w:r>
            <w:r w:rsidR="317FBFB6" w:rsidRPr="008A25E0">
              <w:rPr>
                <w:rFonts w:eastAsia="Arial MT" w:cs="Arial MT"/>
                <w:lang w:val="en-GB"/>
              </w:rPr>
              <w:t xml:space="preserve"> local</w:t>
            </w:r>
          </w:p>
        </w:tc>
      </w:tr>
      <w:tr w:rsidR="02ED53A9" w14:paraId="30CA18B8" w14:textId="77777777" w:rsidTr="02ED53A9">
        <w:trPr>
          <w:trHeight w:val="300"/>
        </w:trPr>
        <w:tc>
          <w:tcPr>
            <w:tcW w:w="4830" w:type="dxa"/>
          </w:tcPr>
          <w:p w14:paraId="0ED73484" w14:textId="6E6F6CAB" w:rsidR="0BAE49F7" w:rsidRDefault="0BAE49F7" w:rsidP="02ED53A9">
            <w:pPr>
              <w:rPr>
                <w:rFonts w:eastAsia="Arial MT" w:cs="Arial MT"/>
              </w:rPr>
            </w:pPr>
            <w:r w:rsidRPr="02ED53A9">
              <w:rPr>
                <w:rFonts w:eastAsia="Arial MT" w:cs="Arial MT"/>
              </w:rPr>
              <w:t>Topic</w:t>
            </w:r>
            <w:r w:rsidR="008A25E0" w:rsidRPr="00CF5CFC">
              <w:rPr>
                <w:rFonts w:eastAsia="Arial MT" w:cs="Arial MT"/>
                <w:lang w:val="en-GB"/>
              </w:rPr>
              <w:t xml:space="preserve"> (please underline)</w:t>
            </w:r>
          </w:p>
        </w:tc>
        <w:tc>
          <w:tcPr>
            <w:tcW w:w="7320" w:type="dxa"/>
          </w:tcPr>
          <w:p w14:paraId="6BC3F5E1" w14:textId="4F7D4C3C" w:rsidR="0BAE49F7" w:rsidRPr="008A25E0" w:rsidRDefault="0BAE49F7" w:rsidP="02ED53A9">
            <w:pPr>
              <w:rPr>
                <w:rFonts w:eastAsia="Arial MT" w:cs="Arial MT"/>
                <w:lang w:val="en-GB"/>
              </w:rPr>
            </w:pPr>
            <w:r w:rsidRPr="008A25E0">
              <w:rPr>
                <w:rFonts w:eastAsia="Arial MT" w:cs="Arial MT"/>
                <w:lang w:val="en-GB"/>
              </w:rPr>
              <w:t>business creation</w:t>
            </w:r>
            <w:r w:rsidR="008A25E0" w:rsidRPr="008A25E0">
              <w:rPr>
                <w:rFonts w:eastAsia="Arial MT" w:cs="Arial MT"/>
                <w:lang w:val="en-GB"/>
              </w:rPr>
              <w:t xml:space="preserve">, </w:t>
            </w:r>
            <w:r w:rsidRPr="008A25E0">
              <w:rPr>
                <w:rFonts w:eastAsia="Arial MT" w:cs="Arial MT"/>
                <w:lang w:val="en-GB"/>
              </w:rPr>
              <w:t>innovation</w:t>
            </w:r>
            <w:r w:rsidR="008A25E0" w:rsidRPr="008A25E0">
              <w:rPr>
                <w:rFonts w:eastAsia="Arial MT" w:cs="Arial MT"/>
                <w:lang w:val="en-GB"/>
              </w:rPr>
              <w:t xml:space="preserve">, </w:t>
            </w:r>
            <w:r w:rsidRPr="008A25E0">
              <w:rPr>
                <w:rFonts w:eastAsia="Arial MT" w:cs="Arial MT"/>
                <w:lang w:val="en-GB"/>
              </w:rPr>
              <w:t>education</w:t>
            </w:r>
            <w:r w:rsidR="008A25E0" w:rsidRPr="008A25E0">
              <w:rPr>
                <w:rFonts w:eastAsia="Arial MT" w:cs="Arial MT"/>
                <w:lang w:val="en-GB"/>
              </w:rPr>
              <w:t xml:space="preserve"> or others</w:t>
            </w:r>
          </w:p>
        </w:tc>
      </w:tr>
      <w:tr w:rsidR="02ED53A9" w:rsidRPr="008A25E0" w14:paraId="1C0FF6BB" w14:textId="77777777" w:rsidTr="02ED53A9">
        <w:trPr>
          <w:trHeight w:val="300"/>
        </w:trPr>
        <w:tc>
          <w:tcPr>
            <w:tcW w:w="4830" w:type="dxa"/>
          </w:tcPr>
          <w:p w14:paraId="547ECBB5" w14:textId="379932F4" w:rsidR="687E7476" w:rsidRPr="00CF5CFC" w:rsidRDefault="687E7476" w:rsidP="02ED53A9">
            <w:pPr>
              <w:rPr>
                <w:rFonts w:eastAsia="Arial MT" w:cs="Arial MT"/>
                <w:lang w:val="en-GB"/>
              </w:rPr>
            </w:pPr>
            <w:r w:rsidRPr="00CF5CFC">
              <w:rPr>
                <w:rFonts w:eastAsia="Arial MT" w:cs="Arial MT"/>
                <w:lang w:val="en-GB"/>
              </w:rPr>
              <w:t>Funding programme, in case of grant (please underline</w:t>
            </w:r>
            <w:r w:rsidR="008A25E0">
              <w:rPr>
                <w:rFonts w:eastAsia="Arial MT" w:cs="Arial MT"/>
                <w:lang w:val="en-GB"/>
              </w:rPr>
              <w:t>)</w:t>
            </w:r>
          </w:p>
        </w:tc>
        <w:tc>
          <w:tcPr>
            <w:tcW w:w="7320" w:type="dxa"/>
          </w:tcPr>
          <w:p w14:paraId="5DC269D6" w14:textId="6D1273D3" w:rsidR="687E7476" w:rsidRPr="008A25E0" w:rsidRDefault="008A25E0" w:rsidP="02ED53A9">
            <w:pPr>
              <w:rPr>
                <w:rFonts w:eastAsia="Arial MT" w:cs="Arial MT"/>
                <w:lang w:val="en-GB"/>
              </w:rPr>
            </w:pPr>
            <w:r w:rsidRPr="008A25E0">
              <w:rPr>
                <w:rFonts w:eastAsia="Arial MT" w:cs="Arial MT"/>
                <w:lang w:val="en-GB"/>
              </w:rPr>
              <w:t xml:space="preserve">Horizon </w:t>
            </w:r>
            <w:r w:rsidR="00D3541C" w:rsidRPr="008A25E0">
              <w:rPr>
                <w:rFonts w:eastAsia="Arial MT" w:cs="Arial MT"/>
                <w:lang w:val="en-GB"/>
              </w:rPr>
              <w:t>Europe</w:t>
            </w:r>
            <w:r w:rsidRPr="008A25E0">
              <w:rPr>
                <w:rFonts w:eastAsia="Arial MT" w:cs="Arial MT"/>
                <w:lang w:val="en-GB"/>
              </w:rPr>
              <w:t xml:space="preserve">, Digital Europe, </w:t>
            </w:r>
            <w:r>
              <w:rPr>
                <w:rFonts w:eastAsia="Arial MT" w:cs="Arial MT"/>
                <w:lang w:val="en-GB"/>
              </w:rPr>
              <w:t xml:space="preserve">Erasmus, </w:t>
            </w:r>
            <w:r w:rsidR="687E7476" w:rsidRPr="008A25E0">
              <w:rPr>
                <w:rFonts w:eastAsia="Arial MT" w:cs="Arial MT"/>
                <w:lang w:val="en-GB"/>
              </w:rPr>
              <w:t>ESIF</w:t>
            </w:r>
            <w:r w:rsidRPr="008A25E0">
              <w:rPr>
                <w:rFonts w:eastAsia="Arial MT" w:cs="Arial MT"/>
                <w:lang w:val="en-GB"/>
              </w:rPr>
              <w:t xml:space="preserve">, </w:t>
            </w:r>
            <w:r w:rsidR="687E7476" w:rsidRPr="008A25E0">
              <w:rPr>
                <w:rFonts w:eastAsia="Arial MT" w:cs="Arial MT"/>
                <w:lang w:val="en-GB"/>
              </w:rPr>
              <w:t xml:space="preserve">IPA </w:t>
            </w:r>
            <w:r w:rsidRPr="008A25E0">
              <w:rPr>
                <w:rFonts w:eastAsia="Arial MT" w:cs="Arial MT"/>
                <w:lang w:val="en-GB"/>
              </w:rPr>
              <w:t xml:space="preserve">or </w:t>
            </w:r>
            <w:r w:rsidR="687E7476" w:rsidRPr="008A25E0">
              <w:rPr>
                <w:rFonts w:eastAsia="Arial MT" w:cs="Arial MT"/>
                <w:lang w:val="en-GB"/>
              </w:rPr>
              <w:t>other</w:t>
            </w:r>
            <w:r w:rsidRPr="008A25E0">
              <w:rPr>
                <w:rFonts w:eastAsia="Arial MT" w:cs="Arial MT"/>
                <w:lang w:val="en-GB"/>
              </w:rPr>
              <w:t>s (if</w:t>
            </w:r>
            <w:r>
              <w:rPr>
                <w:rFonts w:eastAsia="Arial MT" w:cs="Arial MT"/>
                <w:lang w:val="en-GB"/>
              </w:rPr>
              <w:t xml:space="preserve"> others, please specify: )</w:t>
            </w:r>
          </w:p>
        </w:tc>
      </w:tr>
      <w:tr w:rsidR="02ED53A9" w14:paraId="320754F3" w14:textId="77777777" w:rsidTr="02ED53A9">
        <w:trPr>
          <w:trHeight w:val="300"/>
        </w:trPr>
        <w:tc>
          <w:tcPr>
            <w:tcW w:w="4830" w:type="dxa"/>
          </w:tcPr>
          <w:p w14:paraId="1AAC2F7D" w14:textId="3B720F8C" w:rsidR="687E7476" w:rsidRPr="00CF5CFC" w:rsidRDefault="008A25E0" w:rsidP="02ED53A9">
            <w:pPr>
              <w:rPr>
                <w:rFonts w:eastAsia="Arial MT" w:cs="Arial MT"/>
                <w:lang w:val="en-GB"/>
              </w:rPr>
            </w:pPr>
            <w:r>
              <w:rPr>
                <w:rFonts w:eastAsia="Arial MT" w:cs="Arial MT"/>
                <w:lang w:val="en-GB"/>
              </w:rPr>
              <w:t>If available, p</w:t>
            </w:r>
            <w:r w:rsidR="687E7476" w:rsidRPr="00CF5CFC">
              <w:rPr>
                <w:rFonts w:eastAsia="Arial MT" w:cs="Arial MT"/>
                <w:lang w:val="en-GB"/>
              </w:rPr>
              <w:t xml:space="preserve">roject/tender award decision webpage link (showing the supplier </w:t>
            </w:r>
            <w:r w:rsidR="64C95EBB" w:rsidRPr="00CF5CFC">
              <w:rPr>
                <w:rFonts w:eastAsia="Arial MT" w:cs="Arial MT"/>
                <w:lang w:val="en-GB"/>
              </w:rPr>
              <w:t>name</w:t>
            </w:r>
            <w:r w:rsidR="687E7476" w:rsidRPr="00CF5CFC">
              <w:rPr>
                <w:rFonts w:eastAsia="Arial MT" w:cs="Arial MT"/>
                <w:lang w:val="en-GB"/>
              </w:rPr>
              <w:t>):</w:t>
            </w:r>
          </w:p>
        </w:tc>
        <w:tc>
          <w:tcPr>
            <w:tcW w:w="7320" w:type="dxa"/>
          </w:tcPr>
          <w:p w14:paraId="405F7257" w14:textId="4B9F5118" w:rsidR="02ED53A9" w:rsidRPr="00CF5CFC" w:rsidRDefault="02ED53A9" w:rsidP="02ED53A9">
            <w:pPr>
              <w:rPr>
                <w:rFonts w:eastAsia="Arial MT" w:cs="Arial MT"/>
                <w:lang w:val="en-GB"/>
              </w:rPr>
            </w:pPr>
          </w:p>
        </w:tc>
      </w:tr>
      <w:tr w:rsidR="02ED53A9" w14:paraId="1C962890" w14:textId="77777777" w:rsidTr="02ED53A9">
        <w:trPr>
          <w:trHeight w:val="300"/>
        </w:trPr>
        <w:tc>
          <w:tcPr>
            <w:tcW w:w="4830" w:type="dxa"/>
          </w:tcPr>
          <w:p w14:paraId="5FBFD6C9" w14:textId="39CE3D76" w:rsidR="687E7476" w:rsidRPr="00CF5CFC" w:rsidRDefault="687E7476" w:rsidP="02ED53A9">
            <w:pPr>
              <w:rPr>
                <w:rFonts w:eastAsia="Arial MT" w:cs="Arial MT"/>
                <w:lang w:val="en-GB"/>
              </w:rPr>
            </w:pPr>
            <w:r w:rsidRPr="00CF5CFC">
              <w:rPr>
                <w:rFonts w:eastAsia="Arial MT" w:cs="Arial MT"/>
                <w:lang w:val="en-GB"/>
              </w:rPr>
              <w:t>Role of the supplier and the proposed expert in the project/services</w:t>
            </w:r>
            <w:r w:rsidR="15809BC8" w:rsidRPr="00CF5CFC">
              <w:rPr>
                <w:rFonts w:eastAsia="Arial MT" w:cs="Arial MT"/>
                <w:lang w:val="en-GB"/>
              </w:rPr>
              <w:t xml:space="preserve"> provided </w:t>
            </w:r>
            <w:r w:rsidR="0469F3DB" w:rsidRPr="00CF5CFC">
              <w:rPr>
                <w:rFonts w:eastAsia="Arial MT" w:cs="Arial MT"/>
                <w:lang w:val="en-GB"/>
              </w:rPr>
              <w:t>(max. 1000 characters)</w:t>
            </w:r>
            <w:r w:rsidRPr="00CF5CFC">
              <w:rPr>
                <w:rFonts w:eastAsia="Arial MT" w:cs="Arial MT"/>
                <w:lang w:val="en-GB"/>
              </w:rPr>
              <w:t>:</w:t>
            </w:r>
          </w:p>
        </w:tc>
        <w:tc>
          <w:tcPr>
            <w:tcW w:w="7320" w:type="dxa"/>
          </w:tcPr>
          <w:p w14:paraId="6060CD1F" w14:textId="5F2EE40A" w:rsidR="02ED53A9" w:rsidRPr="00CF5CFC" w:rsidRDefault="02ED53A9" w:rsidP="02ED53A9">
            <w:pPr>
              <w:rPr>
                <w:rFonts w:eastAsia="Arial MT" w:cs="Arial MT"/>
                <w:lang w:val="en-GB"/>
              </w:rPr>
            </w:pPr>
          </w:p>
        </w:tc>
      </w:tr>
    </w:tbl>
    <w:p w14:paraId="5AB07100" w14:textId="3AF149BB" w:rsidR="02ED53A9" w:rsidRDefault="02ED53A9" w:rsidP="02ED53A9">
      <w:pPr>
        <w:tabs>
          <w:tab w:val="left" w:pos="4820"/>
        </w:tabs>
        <w:spacing w:after="160" w:line="259" w:lineRule="auto"/>
        <w:jc w:val="both"/>
        <w:rPr>
          <w:rFonts w:eastAsia="Arial MT" w:cs="Arial MT"/>
        </w:rPr>
      </w:pPr>
    </w:p>
    <w:p w14:paraId="12FD0285" w14:textId="5D140296" w:rsidR="02ED53A9" w:rsidRPr="00C86FA9" w:rsidRDefault="008A25E0" w:rsidP="00C86FA9">
      <w:pPr>
        <w:tabs>
          <w:tab w:val="left" w:pos="4820"/>
        </w:tabs>
        <w:spacing w:after="160" w:line="259" w:lineRule="auto"/>
        <w:jc w:val="both"/>
        <w:rPr>
          <w:rFonts w:eastAsia="Arial MT" w:cs="Arial MT"/>
          <w:u w:val="single"/>
        </w:rPr>
      </w:pPr>
      <w:r w:rsidRPr="008A25E0">
        <w:rPr>
          <w:rFonts w:eastAsia="Arial MT" w:cs="Arial MT"/>
        </w:rPr>
        <w:t>2.</w:t>
      </w:r>
      <w:r>
        <w:rPr>
          <w:rFonts w:eastAsia="Arial MT" w:cs="Arial MT"/>
        </w:rPr>
        <w:t xml:space="preserve"> </w:t>
      </w:r>
      <w:r w:rsidRPr="008A25E0">
        <w:rPr>
          <w:rFonts w:eastAsia="Arial MT" w:cs="Arial MT"/>
        </w:rPr>
        <w:t xml:space="preserve">Number of prior events organised with the involvement of EIT KICs (or comparable European innovation bodies) participated by the proposed expert(s) as speaker or moderator. </w:t>
      </w:r>
      <w:r w:rsidR="393F0914" w:rsidRPr="008A25E0">
        <w:rPr>
          <w:rFonts w:eastAsia="Arial MT" w:cs="Arial MT"/>
        </w:rPr>
        <w:t>(please copy-paste the table):</w:t>
      </w:r>
      <w:r w:rsidR="00C86FA9">
        <w:rPr>
          <w:rFonts w:eastAsia="Arial MT" w:cs="Arial MT"/>
        </w:rPr>
        <w:t xml:space="preserve"> </w:t>
      </w:r>
    </w:p>
    <w:tbl>
      <w:tblPr>
        <w:tblStyle w:val="TableGrid"/>
        <w:tblW w:w="12150" w:type="dxa"/>
        <w:tblLayout w:type="fixed"/>
        <w:tblLook w:val="06A0" w:firstRow="1" w:lastRow="0" w:firstColumn="1" w:lastColumn="0" w:noHBand="1" w:noVBand="1"/>
      </w:tblPr>
      <w:tblGrid>
        <w:gridCol w:w="4830"/>
        <w:gridCol w:w="7320"/>
      </w:tblGrid>
      <w:tr w:rsidR="02ED53A9" w14:paraId="6B5C2F13" w14:textId="77777777" w:rsidTr="00C86FA9">
        <w:trPr>
          <w:trHeight w:val="300"/>
        </w:trPr>
        <w:tc>
          <w:tcPr>
            <w:tcW w:w="4830" w:type="dxa"/>
          </w:tcPr>
          <w:p w14:paraId="785A54EC" w14:textId="2AC8F6FD" w:rsidR="02ED53A9" w:rsidRDefault="00C86FA9" w:rsidP="02ED53A9">
            <w:pPr>
              <w:rPr>
                <w:rFonts w:eastAsia="Arial MT" w:cs="Arial MT"/>
              </w:rPr>
            </w:pPr>
            <w:r>
              <w:rPr>
                <w:rFonts w:eastAsia="Arial MT" w:cs="Arial MT"/>
                <w:lang w:val="en-GB"/>
              </w:rPr>
              <w:t>Title of the event</w:t>
            </w:r>
            <w:r w:rsidR="02ED53A9" w:rsidRPr="02ED53A9">
              <w:rPr>
                <w:rFonts w:eastAsia="Arial MT" w:cs="Arial MT"/>
              </w:rPr>
              <w:t>:</w:t>
            </w:r>
          </w:p>
        </w:tc>
        <w:tc>
          <w:tcPr>
            <w:tcW w:w="7320" w:type="dxa"/>
          </w:tcPr>
          <w:p w14:paraId="6A56DA3C" w14:textId="0B6D3594" w:rsidR="02ED53A9" w:rsidRDefault="02ED53A9" w:rsidP="02ED53A9">
            <w:pPr>
              <w:rPr>
                <w:rFonts w:eastAsia="Arial MT" w:cs="Arial MT"/>
              </w:rPr>
            </w:pPr>
          </w:p>
        </w:tc>
      </w:tr>
      <w:tr w:rsidR="00C86FA9" w14:paraId="13F11065" w14:textId="77777777" w:rsidTr="00C86FA9">
        <w:trPr>
          <w:trHeight w:val="300"/>
        </w:trPr>
        <w:tc>
          <w:tcPr>
            <w:tcW w:w="4830" w:type="dxa"/>
          </w:tcPr>
          <w:p w14:paraId="73677BDC" w14:textId="2A8DE515" w:rsidR="00C86FA9" w:rsidRDefault="00C86FA9" w:rsidP="02ED53A9">
            <w:pPr>
              <w:rPr>
                <w:rFonts w:eastAsia="Arial MT" w:cs="Arial MT"/>
              </w:rPr>
            </w:pPr>
            <w:r>
              <w:rPr>
                <w:rFonts w:eastAsia="Arial MT" w:cs="Arial MT"/>
              </w:rPr>
              <w:t xml:space="preserve">Topic: </w:t>
            </w:r>
          </w:p>
        </w:tc>
        <w:tc>
          <w:tcPr>
            <w:tcW w:w="7320" w:type="dxa"/>
          </w:tcPr>
          <w:p w14:paraId="6407A27A" w14:textId="77777777" w:rsidR="00C86FA9" w:rsidRDefault="00C86FA9" w:rsidP="02ED53A9">
            <w:pPr>
              <w:rPr>
                <w:rFonts w:eastAsia="Arial MT" w:cs="Arial MT"/>
              </w:rPr>
            </w:pPr>
          </w:p>
        </w:tc>
      </w:tr>
      <w:tr w:rsidR="02ED53A9" w14:paraId="48791836" w14:textId="77777777" w:rsidTr="00C86FA9">
        <w:trPr>
          <w:trHeight w:val="300"/>
        </w:trPr>
        <w:tc>
          <w:tcPr>
            <w:tcW w:w="4830" w:type="dxa"/>
          </w:tcPr>
          <w:p w14:paraId="0EC2BDC9" w14:textId="531EC71C" w:rsidR="02ED53A9" w:rsidRDefault="00C86FA9" w:rsidP="02ED53A9">
            <w:pPr>
              <w:rPr>
                <w:rFonts w:eastAsia="Arial MT" w:cs="Arial MT"/>
              </w:rPr>
            </w:pPr>
            <w:r>
              <w:rPr>
                <w:rFonts w:eastAsia="Arial MT" w:cs="Arial MT"/>
              </w:rPr>
              <w:t>Place and date</w:t>
            </w:r>
            <w:r w:rsidR="02ED53A9" w:rsidRPr="02ED53A9">
              <w:rPr>
                <w:rFonts w:eastAsia="Arial MT" w:cs="Arial MT"/>
              </w:rPr>
              <w:t>:</w:t>
            </w:r>
          </w:p>
        </w:tc>
        <w:tc>
          <w:tcPr>
            <w:tcW w:w="7320" w:type="dxa"/>
          </w:tcPr>
          <w:p w14:paraId="6B9EA6B2" w14:textId="62DF4C03" w:rsidR="02ED53A9" w:rsidRDefault="02ED53A9" w:rsidP="02ED53A9">
            <w:pPr>
              <w:rPr>
                <w:rFonts w:eastAsia="Arial MT" w:cs="Arial MT"/>
              </w:rPr>
            </w:pPr>
          </w:p>
        </w:tc>
      </w:tr>
      <w:tr w:rsidR="02ED53A9" w14:paraId="0BBC6DFE" w14:textId="77777777" w:rsidTr="00C86FA9">
        <w:trPr>
          <w:trHeight w:val="300"/>
        </w:trPr>
        <w:tc>
          <w:tcPr>
            <w:tcW w:w="4830" w:type="dxa"/>
          </w:tcPr>
          <w:p w14:paraId="05308976" w14:textId="64AFED9D" w:rsidR="02ED53A9" w:rsidRPr="00CF5CFC" w:rsidRDefault="00C86FA9" w:rsidP="02ED53A9">
            <w:pPr>
              <w:rPr>
                <w:rFonts w:eastAsia="Arial MT" w:cs="Arial MT"/>
                <w:lang w:val="en-GB"/>
              </w:rPr>
            </w:pPr>
            <w:r>
              <w:rPr>
                <w:rFonts w:eastAsia="Arial MT" w:cs="Arial MT"/>
                <w:lang w:val="en-GB"/>
              </w:rPr>
              <w:t xml:space="preserve">Link to the agenda (if online) or copy paste it here: </w:t>
            </w:r>
          </w:p>
        </w:tc>
        <w:tc>
          <w:tcPr>
            <w:tcW w:w="7320" w:type="dxa"/>
          </w:tcPr>
          <w:p w14:paraId="4F1E2F12" w14:textId="58231D62" w:rsidR="23162BF7" w:rsidRPr="008417BB" w:rsidRDefault="23162BF7" w:rsidP="02ED53A9">
            <w:pPr>
              <w:rPr>
                <w:rFonts w:eastAsia="Arial MT" w:cs="Arial MT"/>
                <w:lang w:val="en-GB"/>
              </w:rPr>
            </w:pPr>
          </w:p>
        </w:tc>
      </w:tr>
      <w:tr w:rsidR="02ED53A9" w14:paraId="0683A6F7" w14:textId="77777777" w:rsidTr="00C86FA9">
        <w:trPr>
          <w:trHeight w:val="578"/>
        </w:trPr>
        <w:tc>
          <w:tcPr>
            <w:tcW w:w="4830" w:type="dxa"/>
          </w:tcPr>
          <w:p w14:paraId="3BE325A8" w14:textId="79CF9CE4" w:rsidR="02ED53A9" w:rsidRPr="00C86FA9" w:rsidRDefault="00C86FA9" w:rsidP="02ED53A9">
            <w:pPr>
              <w:rPr>
                <w:rFonts w:eastAsia="Arial MT" w:cs="Arial MT"/>
                <w:lang w:val="en-GB"/>
              </w:rPr>
            </w:pPr>
            <w:r w:rsidRPr="00CF5CFC">
              <w:rPr>
                <w:rFonts w:eastAsia="Arial MT" w:cs="Arial MT"/>
                <w:lang w:val="en-GB"/>
              </w:rPr>
              <w:lastRenderedPageBreak/>
              <w:t>Role of the supplier and the proposed expert in the project/services provided (max. 1000 characters):</w:t>
            </w:r>
          </w:p>
        </w:tc>
        <w:tc>
          <w:tcPr>
            <w:tcW w:w="7320" w:type="dxa"/>
          </w:tcPr>
          <w:p w14:paraId="38C3F9DC" w14:textId="4C3B905B" w:rsidR="02ED53A9" w:rsidRPr="00C86FA9" w:rsidRDefault="02ED53A9" w:rsidP="02ED53A9">
            <w:pPr>
              <w:rPr>
                <w:rFonts w:eastAsia="Arial MT" w:cs="Arial MT"/>
                <w:lang w:val="en-GB"/>
              </w:rPr>
            </w:pPr>
          </w:p>
        </w:tc>
      </w:tr>
    </w:tbl>
    <w:p w14:paraId="685F3170" w14:textId="77777777" w:rsidR="00C86FA9" w:rsidRDefault="00C86FA9" w:rsidP="00C86FA9">
      <w:pPr>
        <w:tabs>
          <w:tab w:val="left" w:pos="4820"/>
        </w:tabs>
        <w:spacing w:after="160" w:line="259" w:lineRule="auto"/>
        <w:jc w:val="both"/>
        <w:rPr>
          <w:rFonts w:eastAsia="Arial MT" w:cs="Arial MT"/>
        </w:rPr>
      </w:pPr>
    </w:p>
    <w:p w14:paraId="7AD5672F" w14:textId="5C168E55" w:rsidR="00C86FA9" w:rsidRPr="00C86FA9" w:rsidRDefault="00C86FA9" w:rsidP="00C86FA9">
      <w:pPr>
        <w:tabs>
          <w:tab w:val="left" w:pos="4820"/>
        </w:tabs>
        <w:spacing w:after="160" w:line="259" w:lineRule="auto"/>
        <w:jc w:val="both"/>
        <w:rPr>
          <w:rFonts w:eastAsia="Arial MT" w:cs="Arial MT"/>
        </w:rPr>
      </w:pPr>
      <w:r>
        <w:rPr>
          <w:rFonts w:eastAsia="Arial MT" w:cs="Arial MT"/>
        </w:rPr>
        <w:t>3</w:t>
      </w:r>
      <w:r w:rsidRPr="008A25E0">
        <w:rPr>
          <w:rFonts w:eastAsia="Arial MT" w:cs="Arial MT"/>
        </w:rPr>
        <w:t>.</w:t>
      </w:r>
      <w:r>
        <w:rPr>
          <w:rFonts w:eastAsia="Arial MT" w:cs="Arial MT"/>
        </w:rPr>
        <w:t xml:space="preserve"> </w:t>
      </w:r>
      <w:r w:rsidRPr="00C86FA9">
        <w:rPr>
          <w:rFonts w:eastAsia="Arial MT" w:cs="Arial MT"/>
        </w:rPr>
        <w:t xml:space="preserve">Proven experience managing an EIT RIS Hub (or equivalent innovation body) in Bulgaria with involvement of the proposed expert(s). </w:t>
      </w:r>
      <w:r w:rsidRPr="008A25E0">
        <w:rPr>
          <w:rFonts w:eastAsia="Arial MT" w:cs="Arial MT"/>
        </w:rPr>
        <w:t>(please copy-paste the table)</w:t>
      </w:r>
    </w:p>
    <w:p w14:paraId="2EEB22A4" w14:textId="53A60648" w:rsidR="00C86FA9" w:rsidRPr="00C86FA9" w:rsidRDefault="00C86FA9" w:rsidP="00C86FA9">
      <w:pPr>
        <w:tabs>
          <w:tab w:val="left" w:pos="4820"/>
        </w:tabs>
        <w:spacing w:after="160" w:line="259" w:lineRule="auto"/>
        <w:jc w:val="both"/>
        <w:rPr>
          <w:rFonts w:eastAsia="Arial MT" w:cs="Arial MT"/>
        </w:rPr>
      </w:pPr>
    </w:p>
    <w:tbl>
      <w:tblPr>
        <w:tblStyle w:val="TableGrid"/>
        <w:tblW w:w="12150" w:type="dxa"/>
        <w:tblLayout w:type="fixed"/>
        <w:tblLook w:val="06A0" w:firstRow="1" w:lastRow="0" w:firstColumn="1" w:lastColumn="0" w:noHBand="1" w:noVBand="1"/>
      </w:tblPr>
      <w:tblGrid>
        <w:gridCol w:w="4830"/>
        <w:gridCol w:w="7320"/>
      </w:tblGrid>
      <w:tr w:rsidR="00C86FA9" w14:paraId="499C484F" w14:textId="77777777" w:rsidTr="426DE8F5">
        <w:trPr>
          <w:trHeight w:val="300"/>
        </w:trPr>
        <w:tc>
          <w:tcPr>
            <w:tcW w:w="4830" w:type="dxa"/>
          </w:tcPr>
          <w:p w14:paraId="46B01E9E" w14:textId="6D35A954" w:rsidR="00C86FA9" w:rsidRPr="00C86FA9" w:rsidRDefault="00C86FA9" w:rsidP="009B23EA">
            <w:pPr>
              <w:rPr>
                <w:rFonts w:eastAsia="Arial MT" w:cs="Arial MT"/>
                <w:lang w:val="en-GB"/>
              </w:rPr>
            </w:pPr>
            <w:r w:rsidRPr="00C86FA9">
              <w:rPr>
                <w:rFonts w:eastAsia="Arial MT" w:cs="Arial MT"/>
                <w:lang w:val="en-GB"/>
              </w:rPr>
              <w:t>Name of the EIT KIC (or equivalent innovation body) that was represented</w:t>
            </w:r>
          </w:p>
        </w:tc>
        <w:tc>
          <w:tcPr>
            <w:tcW w:w="7320" w:type="dxa"/>
          </w:tcPr>
          <w:p w14:paraId="6D935E79" w14:textId="77777777" w:rsidR="00C86FA9" w:rsidRPr="00C86FA9" w:rsidRDefault="00C86FA9" w:rsidP="009B23EA">
            <w:pPr>
              <w:rPr>
                <w:rFonts w:eastAsia="Arial MT" w:cs="Arial MT"/>
                <w:lang w:val="en-GB"/>
              </w:rPr>
            </w:pPr>
          </w:p>
        </w:tc>
      </w:tr>
      <w:tr w:rsidR="00C86FA9" w14:paraId="7381B9ED" w14:textId="77777777" w:rsidTr="426DE8F5">
        <w:trPr>
          <w:trHeight w:val="300"/>
        </w:trPr>
        <w:tc>
          <w:tcPr>
            <w:tcW w:w="4830" w:type="dxa"/>
          </w:tcPr>
          <w:p w14:paraId="71DE5E81" w14:textId="5A1E2455" w:rsidR="00C86FA9" w:rsidRPr="00C86FA9" w:rsidRDefault="00C86FA9" w:rsidP="009B23EA">
            <w:pPr>
              <w:rPr>
                <w:rFonts w:eastAsia="Arial MT" w:cs="Arial MT"/>
                <w:lang w:val="en-GB"/>
              </w:rPr>
            </w:pPr>
            <w:r>
              <w:rPr>
                <w:rFonts w:eastAsia="Arial MT" w:cs="Arial MT"/>
                <w:lang w:val="en-GB"/>
              </w:rPr>
              <w:t>Years of operation:</w:t>
            </w:r>
          </w:p>
        </w:tc>
        <w:tc>
          <w:tcPr>
            <w:tcW w:w="7320" w:type="dxa"/>
          </w:tcPr>
          <w:p w14:paraId="7ADC60FD" w14:textId="77777777" w:rsidR="00C86FA9" w:rsidRPr="00C86FA9" w:rsidRDefault="00C86FA9" w:rsidP="009B23EA">
            <w:pPr>
              <w:rPr>
                <w:rFonts w:eastAsia="Arial MT" w:cs="Arial MT"/>
                <w:lang w:val="en-GB"/>
              </w:rPr>
            </w:pPr>
          </w:p>
        </w:tc>
      </w:tr>
      <w:tr w:rsidR="00C86FA9" w14:paraId="6E2118D7" w14:textId="77777777" w:rsidTr="426DE8F5">
        <w:trPr>
          <w:trHeight w:val="300"/>
        </w:trPr>
        <w:tc>
          <w:tcPr>
            <w:tcW w:w="4830" w:type="dxa"/>
          </w:tcPr>
          <w:p w14:paraId="29D8F22D" w14:textId="19AF795C" w:rsidR="00C86FA9" w:rsidRPr="00C86FA9" w:rsidRDefault="63355C6F" w:rsidP="009B23EA">
            <w:pPr>
              <w:rPr>
                <w:rFonts w:eastAsia="Arial MT" w:cs="Arial MT"/>
                <w:lang w:val="en-GB"/>
              </w:rPr>
            </w:pPr>
            <w:r w:rsidRPr="426DE8F5">
              <w:rPr>
                <w:rFonts w:eastAsia="Arial MT" w:cs="Arial MT"/>
                <w:lang w:val="en-GB"/>
              </w:rPr>
              <w:t xml:space="preserve">Link (if online) or any </w:t>
            </w:r>
            <w:r w:rsidR="2332161C" w:rsidRPr="426DE8F5">
              <w:rPr>
                <w:rFonts w:eastAsia="Arial MT" w:cs="Arial MT"/>
                <w:lang w:val="en-GB"/>
              </w:rPr>
              <w:t xml:space="preserve">other </w:t>
            </w:r>
            <w:r w:rsidRPr="426DE8F5">
              <w:rPr>
                <w:rFonts w:eastAsia="Arial MT" w:cs="Arial MT"/>
                <w:lang w:val="en-GB"/>
              </w:rPr>
              <w:t>proof of the award</w:t>
            </w:r>
            <w:r w:rsidR="3CE03BA4" w:rsidRPr="426DE8F5">
              <w:rPr>
                <w:rFonts w:eastAsia="Arial MT" w:cs="Arial MT"/>
                <w:lang w:val="en-GB"/>
              </w:rPr>
              <w:t>, like a</w:t>
            </w:r>
            <w:r w:rsidR="5B14D41B" w:rsidRPr="426DE8F5">
              <w:rPr>
                <w:rFonts w:eastAsia="Arial MT" w:cs="Arial MT"/>
                <w:lang w:val="en-GB"/>
              </w:rPr>
              <w:t xml:space="preserve"> reference letter from the KIC. </w:t>
            </w:r>
          </w:p>
        </w:tc>
        <w:tc>
          <w:tcPr>
            <w:tcW w:w="7320" w:type="dxa"/>
          </w:tcPr>
          <w:p w14:paraId="02CF84AA" w14:textId="77777777" w:rsidR="00C86FA9" w:rsidRPr="00C86FA9" w:rsidRDefault="00C86FA9" w:rsidP="009B23EA">
            <w:pPr>
              <w:rPr>
                <w:rFonts w:eastAsia="Arial MT" w:cs="Arial MT"/>
                <w:lang w:val="en-GB"/>
              </w:rPr>
            </w:pPr>
          </w:p>
        </w:tc>
      </w:tr>
      <w:tr w:rsidR="00C86FA9" w14:paraId="3944B6B3" w14:textId="77777777" w:rsidTr="426DE8F5">
        <w:trPr>
          <w:trHeight w:val="300"/>
        </w:trPr>
        <w:tc>
          <w:tcPr>
            <w:tcW w:w="4830" w:type="dxa"/>
          </w:tcPr>
          <w:p w14:paraId="0B8EDE63" w14:textId="0079C243" w:rsidR="00C86FA9" w:rsidRPr="00C86FA9" w:rsidRDefault="00C86FA9" w:rsidP="009B23EA">
            <w:pPr>
              <w:rPr>
                <w:rFonts w:eastAsia="Arial MT" w:cs="Arial MT"/>
                <w:lang w:val="en-GB"/>
              </w:rPr>
            </w:pPr>
            <w:r w:rsidRPr="00C86FA9">
              <w:rPr>
                <w:rFonts w:eastAsia="Arial MT" w:cs="Arial MT"/>
                <w:lang w:val="en-GB"/>
              </w:rPr>
              <w:t>Involvement/role of the proposed expert(s) in the representation</w:t>
            </w:r>
            <w:r>
              <w:rPr>
                <w:rFonts w:eastAsia="Arial MT" w:cs="Arial MT"/>
                <w:lang w:val="en-GB"/>
              </w:rPr>
              <w:t xml:space="preserve"> </w:t>
            </w:r>
            <w:r w:rsidRPr="00CF5CFC">
              <w:rPr>
                <w:rFonts w:eastAsia="Arial MT" w:cs="Arial MT"/>
                <w:lang w:val="en-GB"/>
              </w:rPr>
              <w:t>(max. 1000 characters)</w:t>
            </w:r>
          </w:p>
        </w:tc>
        <w:tc>
          <w:tcPr>
            <w:tcW w:w="7320" w:type="dxa"/>
          </w:tcPr>
          <w:p w14:paraId="02F62DB9" w14:textId="77777777" w:rsidR="00C86FA9" w:rsidRPr="00C86FA9" w:rsidRDefault="00C86FA9" w:rsidP="009B23EA">
            <w:pPr>
              <w:rPr>
                <w:rFonts w:eastAsia="Arial MT" w:cs="Arial MT"/>
                <w:lang w:val="en-GB"/>
              </w:rPr>
            </w:pPr>
          </w:p>
        </w:tc>
      </w:tr>
    </w:tbl>
    <w:p w14:paraId="24FD3844" w14:textId="1E1BE349" w:rsidR="36BD73AB" w:rsidRDefault="36BD73AB" w:rsidP="02ED53A9">
      <w:pPr>
        <w:tabs>
          <w:tab w:val="left" w:pos="4820"/>
        </w:tabs>
        <w:spacing w:after="160" w:line="259" w:lineRule="auto"/>
        <w:jc w:val="both"/>
        <w:rPr>
          <w:rFonts w:eastAsia="Arial MT" w:cs="Arial MT"/>
          <w:highlight w:val="yellow"/>
        </w:rPr>
      </w:pPr>
    </w:p>
    <w:bookmarkEnd w:id="68"/>
    <w:p w14:paraId="17216DFE" w14:textId="57A36C00" w:rsidR="00840911" w:rsidRPr="00DB6DF1" w:rsidRDefault="00840911" w:rsidP="00995089">
      <w:pPr>
        <w:jc w:val="both"/>
        <w:rPr>
          <w:sz w:val="24"/>
          <w:szCs w:val="24"/>
        </w:rPr>
      </w:pPr>
    </w:p>
    <w:sectPr w:rsidR="00840911" w:rsidRPr="00DB6DF1" w:rsidSect="00CE35E1">
      <w:pgSz w:w="15840" w:h="12240" w:orient="landscape"/>
      <w:pgMar w:top="1325" w:right="1701" w:bottom="1701" w:left="1985" w:header="567" w:footer="444" w:gutter="0"/>
      <w:pgNumType w:start="56"/>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585F" w14:textId="77777777" w:rsidR="00025FD2" w:rsidRDefault="00025FD2">
      <w:pPr>
        <w:spacing w:after="0" w:line="240" w:lineRule="auto"/>
      </w:pPr>
      <w:r>
        <w:separator/>
      </w:r>
    </w:p>
  </w:endnote>
  <w:endnote w:type="continuationSeparator" w:id="0">
    <w:p w14:paraId="2BE9405D" w14:textId="77777777" w:rsidR="00025FD2" w:rsidRDefault="00025FD2">
      <w:pPr>
        <w:spacing w:after="0" w:line="240" w:lineRule="auto"/>
      </w:pPr>
      <w:r>
        <w:continuationSeparator/>
      </w:r>
    </w:p>
  </w:endnote>
  <w:endnote w:type="continuationNotice" w:id="1">
    <w:p w14:paraId="5A9AC1FF" w14:textId="77777777" w:rsidR="0026010D" w:rsidRDefault="00260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SymbolMT">
    <w:altName w:val="Cambria"/>
    <w:panose1 w:val="00000000000000000000"/>
    <w:charset w:val="00"/>
    <w:family w:val="roman"/>
    <w:notTrueType/>
    <w:pitch w:val="default"/>
  </w:font>
  <w:font w:name="Arial MT">
    <w:altName w:val="Arial"/>
    <w:charset w:val="00"/>
    <w:family w:val="swiss"/>
    <w:pitch w:val="variable"/>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08118"/>
      <w:docPartObj>
        <w:docPartGallery w:val="Page Numbers (Bottom of Page)"/>
        <w:docPartUnique/>
      </w:docPartObj>
    </w:sdtPr>
    <w:sdtEndPr/>
    <w:sdtContent>
      <w:p w14:paraId="769B5AEB" w14:textId="2A782A85" w:rsidR="00D742C8" w:rsidRDefault="00D742C8">
        <w:pPr>
          <w:pStyle w:val="Footer"/>
          <w:jc w:val="right"/>
        </w:pPr>
        <w:r>
          <w:fldChar w:fldCharType="begin"/>
        </w:r>
        <w:r>
          <w:instrText>PAGE   \* MERGEFORMAT</w:instrText>
        </w:r>
        <w:r>
          <w:fldChar w:fldCharType="separate"/>
        </w:r>
        <w:r>
          <w:rPr>
            <w:lang w:val="ca-ES"/>
          </w:rPr>
          <w:t>2</w:t>
        </w:r>
        <w:r>
          <w:fldChar w:fldCharType="end"/>
        </w:r>
      </w:p>
    </w:sdtContent>
  </w:sdt>
  <w:p w14:paraId="2B85CA16" w14:textId="1E5E6CFE" w:rsidR="003613D9" w:rsidRPr="0083526A" w:rsidRDefault="003613D9" w:rsidP="00E94E31">
    <w:pPr>
      <w:tabs>
        <w:tab w:val="center" w:pos="4251"/>
        <w:tab w:val="right" w:pos="8503"/>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B785" w14:textId="7FD80BC9" w:rsidR="00395998" w:rsidRDefault="00395998">
    <w:pPr>
      <w:pStyle w:val="Footer"/>
      <w:jc w:val="center"/>
    </w:pPr>
  </w:p>
  <w:p w14:paraId="7C9654FB" w14:textId="006597B5" w:rsidR="003613D9" w:rsidRDefault="00361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9C4D3" w14:textId="77777777" w:rsidR="00025FD2" w:rsidRDefault="00025FD2">
      <w:pPr>
        <w:spacing w:after="0" w:line="240" w:lineRule="auto"/>
      </w:pPr>
      <w:r>
        <w:separator/>
      </w:r>
    </w:p>
  </w:footnote>
  <w:footnote w:type="continuationSeparator" w:id="0">
    <w:p w14:paraId="2ED5E2D4" w14:textId="77777777" w:rsidR="00025FD2" w:rsidRDefault="00025FD2">
      <w:pPr>
        <w:spacing w:after="0" w:line="240" w:lineRule="auto"/>
      </w:pPr>
      <w:r>
        <w:continuationSeparator/>
      </w:r>
    </w:p>
  </w:footnote>
  <w:footnote w:type="continuationNotice" w:id="1">
    <w:p w14:paraId="65352003" w14:textId="77777777" w:rsidR="0026010D" w:rsidRDefault="0026010D">
      <w:pPr>
        <w:spacing w:after="0" w:line="240" w:lineRule="auto"/>
      </w:pPr>
    </w:p>
  </w:footnote>
  <w:footnote w:id="2">
    <w:p w14:paraId="7978BBFC" w14:textId="79063D10" w:rsidR="00B402A9" w:rsidRDefault="00B402A9">
      <w:pPr>
        <w:pStyle w:val="FootnoteText"/>
      </w:pPr>
      <w:r>
        <w:rPr>
          <w:rStyle w:val="FootnoteReference"/>
        </w:rPr>
        <w:footnoteRef/>
      </w:r>
      <w:r>
        <w:t xml:space="preserve"> </w:t>
      </w:r>
      <w:r w:rsidRPr="00B402A9">
        <w:t>Slots will be assigned on a first-come, first-served basis once candidates have been notified</w:t>
      </w:r>
      <w:r>
        <w:t>.</w:t>
      </w:r>
    </w:p>
  </w:footnote>
  <w:footnote w:id="3">
    <w:p w14:paraId="54D380B7" w14:textId="77777777" w:rsidR="00423AF0" w:rsidRDefault="00423AF0" w:rsidP="00423AF0">
      <w:pPr>
        <w:pStyle w:val="FootnoteText"/>
      </w:pPr>
      <w:r w:rsidRPr="1F95E526">
        <w:rPr>
          <w:rStyle w:val="FootnoteReference"/>
        </w:rPr>
        <w:footnoteRef/>
      </w:r>
      <w:r>
        <w:t xml:space="preserve"> Potentially involving other neighbouring countries associated to Horizon Europe</w:t>
      </w:r>
    </w:p>
  </w:footnote>
  <w:footnote w:id="4">
    <w:p w14:paraId="50FDDBF9" w14:textId="77777777" w:rsidR="00423AF0" w:rsidRDefault="00423AF0" w:rsidP="00423AF0">
      <w:pPr>
        <w:pStyle w:val="FootnoteText"/>
      </w:pPr>
      <w:r w:rsidRPr="7B67AEF2">
        <w:rPr>
          <w:rStyle w:val="FootnoteReference"/>
        </w:rPr>
        <w:footnoteRef/>
      </w:r>
      <w:r>
        <w:t xml:space="preserve"> The list is indicative and will be updated in case of change.</w:t>
      </w:r>
    </w:p>
  </w:footnote>
  <w:footnote w:id="5">
    <w:p w14:paraId="35ECC416" w14:textId="77777777" w:rsidR="00423AF0" w:rsidRDefault="00423AF0" w:rsidP="00423AF0">
      <w:pPr>
        <w:pStyle w:val="FootnoteText"/>
      </w:pPr>
      <w:r w:rsidRPr="1F95E526">
        <w:rPr>
          <w:rStyle w:val="FootnoteReference"/>
        </w:rPr>
        <w:footnoteRef/>
      </w:r>
      <w:r>
        <w:t xml:space="preserve"> only applies to the RIB pilot countries</w:t>
      </w:r>
    </w:p>
  </w:footnote>
  <w:footnote w:id="6">
    <w:p w14:paraId="572B57A8" w14:textId="77777777" w:rsidR="00423AF0" w:rsidRDefault="00423AF0" w:rsidP="00423AF0">
      <w:pPr>
        <w:pStyle w:val="FootnoteText"/>
        <w:rPr>
          <w:rStyle w:val="FootnoteReference"/>
        </w:rPr>
      </w:pPr>
      <w:r w:rsidRPr="53858986">
        <w:rPr>
          <w:rStyle w:val="FootnoteReference"/>
        </w:rPr>
        <w:t>The list is for reference only, and the EIT Impact Framework in effect shall supersede in the event of any inconsistency.</w:t>
      </w:r>
    </w:p>
    <w:p w14:paraId="34CEB5CD" w14:textId="77777777" w:rsidR="00423AF0" w:rsidRDefault="00423AF0" w:rsidP="00423AF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FDEE" w14:textId="7B8608CB" w:rsidR="0005274A" w:rsidRDefault="0005274A" w:rsidP="00E94E31">
    <w:pPr>
      <w:pStyle w:val="Header"/>
    </w:pPr>
  </w:p>
  <w:p w14:paraId="2C58571F" w14:textId="27B66F9F" w:rsidR="0005274A" w:rsidRDefault="0005274A">
    <w:pPr>
      <w:pStyle w:val="Header"/>
    </w:pPr>
  </w:p>
  <w:p w14:paraId="54131AED" w14:textId="4CCECE29" w:rsidR="0005274A" w:rsidRDefault="00920A71" w:rsidP="002C6C34">
    <w:pPr>
      <w:pStyle w:val="Header"/>
      <w:jc w:val="right"/>
    </w:pPr>
    <w:r>
      <w:rPr>
        <w:noProof/>
      </w:rPr>
      <w:drawing>
        <wp:inline distT="0" distB="0" distL="0" distR="0" wp14:anchorId="6B973F1A" wp14:editId="245CBC5D">
          <wp:extent cx="2599200" cy="324000"/>
          <wp:effectExtent l="0" t="0" r="0" b="0"/>
          <wp:docPr id="749699557" name="Picture 13617891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200" cy="3240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Pj5sexUinm/dRk" int2:id="nkwfRjg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94C934"/>
    <w:lvl w:ilvl="0">
      <w:start w:val="1"/>
      <w:numFmt w:val="decimal"/>
      <w:pStyle w:val="ListBullet"/>
      <w:lvlText w:val="%1."/>
      <w:lvlJc w:val="left"/>
      <w:pPr>
        <w:ind w:left="360" w:hanging="360"/>
      </w:pPr>
      <w:rPr>
        <w:rFonts w:hint="default"/>
        <w:sz w:val="22"/>
        <w:szCs w:val="22"/>
      </w:rPr>
    </w:lvl>
  </w:abstractNum>
  <w:abstractNum w:abstractNumId="1" w15:restartNumberingAfterBreak="0">
    <w:nsid w:val="0067183B"/>
    <w:multiLevelType w:val="multilevel"/>
    <w:tmpl w:val="72046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8A5288"/>
    <w:multiLevelType w:val="multilevel"/>
    <w:tmpl w:val="07A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AE3187"/>
    <w:multiLevelType w:val="multilevel"/>
    <w:tmpl w:val="A0F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0D80CDE"/>
    <w:multiLevelType w:val="multilevel"/>
    <w:tmpl w:val="921E0E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0F67B1A"/>
    <w:multiLevelType w:val="multilevel"/>
    <w:tmpl w:val="B71080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3FA006"/>
    <w:multiLevelType w:val="hybridMultilevel"/>
    <w:tmpl w:val="5C242FD6"/>
    <w:lvl w:ilvl="0" w:tplc="9222BB5E">
      <w:start w:val="1"/>
      <w:numFmt w:val="bullet"/>
      <w:lvlText w:val=""/>
      <w:lvlJc w:val="left"/>
      <w:pPr>
        <w:ind w:left="720" w:hanging="360"/>
      </w:pPr>
      <w:rPr>
        <w:rFonts w:ascii="Symbol" w:hAnsi="Symbol" w:hint="default"/>
      </w:rPr>
    </w:lvl>
    <w:lvl w:ilvl="1" w:tplc="92FEC838">
      <w:start w:val="1"/>
      <w:numFmt w:val="bullet"/>
      <w:lvlText w:val="o"/>
      <w:lvlJc w:val="left"/>
      <w:pPr>
        <w:ind w:left="1440" w:hanging="360"/>
      </w:pPr>
      <w:rPr>
        <w:rFonts w:ascii="Courier New" w:hAnsi="Courier New" w:hint="default"/>
      </w:rPr>
    </w:lvl>
    <w:lvl w:ilvl="2" w:tplc="C02282D8">
      <w:start w:val="1"/>
      <w:numFmt w:val="bullet"/>
      <w:lvlText w:val=""/>
      <w:lvlJc w:val="left"/>
      <w:pPr>
        <w:ind w:left="2160" w:hanging="360"/>
      </w:pPr>
      <w:rPr>
        <w:rFonts w:ascii="Wingdings" w:hAnsi="Wingdings" w:hint="default"/>
      </w:rPr>
    </w:lvl>
    <w:lvl w:ilvl="3" w:tplc="32D45D10">
      <w:start w:val="1"/>
      <w:numFmt w:val="bullet"/>
      <w:lvlText w:val=""/>
      <w:lvlJc w:val="left"/>
      <w:pPr>
        <w:ind w:left="2880" w:hanging="360"/>
      </w:pPr>
      <w:rPr>
        <w:rFonts w:ascii="Symbol" w:hAnsi="Symbol" w:hint="default"/>
      </w:rPr>
    </w:lvl>
    <w:lvl w:ilvl="4" w:tplc="8DAEC300">
      <w:start w:val="1"/>
      <w:numFmt w:val="bullet"/>
      <w:lvlText w:val="o"/>
      <w:lvlJc w:val="left"/>
      <w:pPr>
        <w:ind w:left="3600" w:hanging="360"/>
      </w:pPr>
      <w:rPr>
        <w:rFonts w:ascii="Courier New" w:hAnsi="Courier New" w:hint="default"/>
      </w:rPr>
    </w:lvl>
    <w:lvl w:ilvl="5" w:tplc="832A88CC">
      <w:start w:val="1"/>
      <w:numFmt w:val="bullet"/>
      <w:lvlText w:val=""/>
      <w:lvlJc w:val="left"/>
      <w:pPr>
        <w:ind w:left="4320" w:hanging="360"/>
      </w:pPr>
      <w:rPr>
        <w:rFonts w:ascii="Wingdings" w:hAnsi="Wingdings" w:hint="default"/>
      </w:rPr>
    </w:lvl>
    <w:lvl w:ilvl="6" w:tplc="8D965BB8">
      <w:start w:val="1"/>
      <w:numFmt w:val="bullet"/>
      <w:lvlText w:val=""/>
      <w:lvlJc w:val="left"/>
      <w:pPr>
        <w:ind w:left="5040" w:hanging="360"/>
      </w:pPr>
      <w:rPr>
        <w:rFonts w:ascii="Symbol" w:hAnsi="Symbol" w:hint="default"/>
      </w:rPr>
    </w:lvl>
    <w:lvl w:ilvl="7" w:tplc="2A600E4C">
      <w:start w:val="1"/>
      <w:numFmt w:val="bullet"/>
      <w:lvlText w:val="o"/>
      <w:lvlJc w:val="left"/>
      <w:pPr>
        <w:ind w:left="5760" w:hanging="360"/>
      </w:pPr>
      <w:rPr>
        <w:rFonts w:ascii="Courier New" w:hAnsi="Courier New" w:hint="default"/>
      </w:rPr>
    </w:lvl>
    <w:lvl w:ilvl="8" w:tplc="CB143C04">
      <w:start w:val="1"/>
      <w:numFmt w:val="bullet"/>
      <w:lvlText w:val=""/>
      <w:lvlJc w:val="left"/>
      <w:pPr>
        <w:ind w:left="6480" w:hanging="360"/>
      </w:pPr>
      <w:rPr>
        <w:rFonts w:ascii="Wingdings" w:hAnsi="Wingdings" w:hint="default"/>
      </w:rPr>
    </w:lvl>
  </w:abstractNum>
  <w:abstractNum w:abstractNumId="7" w15:restartNumberingAfterBreak="0">
    <w:nsid w:val="02E002A3"/>
    <w:multiLevelType w:val="multilevel"/>
    <w:tmpl w:val="8FDC91C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04AE3DDD"/>
    <w:multiLevelType w:val="multilevel"/>
    <w:tmpl w:val="0C18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AF5F33"/>
    <w:multiLevelType w:val="multilevel"/>
    <w:tmpl w:val="EA462D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C07A83"/>
    <w:multiLevelType w:val="multilevel"/>
    <w:tmpl w:val="7EC831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58142C9"/>
    <w:multiLevelType w:val="multilevel"/>
    <w:tmpl w:val="D848E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D90389"/>
    <w:multiLevelType w:val="hybridMultilevel"/>
    <w:tmpl w:val="A6A8F1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F52C8E"/>
    <w:multiLevelType w:val="multilevel"/>
    <w:tmpl w:val="1978705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6324E5A"/>
    <w:multiLevelType w:val="multilevel"/>
    <w:tmpl w:val="15B66C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64C3A57"/>
    <w:multiLevelType w:val="multilevel"/>
    <w:tmpl w:val="A73ADE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8E22FD"/>
    <w:multiLevelType w:val="multilevel"/>
    <w:tmpl w:val="E1E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7D6D06"/>
    <w:multiLevelType w:val="multilevel"/>
    <w:tmpl w:val="A3F8CD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78E07E8"/>
    <w:multiLevelType w:val="hybridMultilevel"/>
    <w:tmpl w:val="D92ADD80"/>
    <w:lvl w:ilvl="0" w:tplc="262A899C">
      <w:start w:val="1"/>
      <w:numFmt w:val="decimal"/>
      <w:lvlText w:val="%1."/>
      <w:lvlJc w:val="left"/>
      <w:pPr>
        <w:ind w:left="720" w:hanging="360"/>
      </w:pPr>
      <w:rPr>
        <w:rFonts w:ascii="Calibri Light" w:eastAsiaTheme="minorEastAsia" w:hAnsi="Calibri Light" w:cstheme="minorBidi"/>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86E1D42"/>
    <w:multiLevelType w:val="multilevel"/>
    <w:tmpl w:val="57D4B23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08DE55CA"/>
    <w:multiLevelType w:val="multilevel"/>
    <w:tmpl w:val="BD6EBB5C"/>
    <w:lvl w:ilvl="0">
      <w:start w:val="2"/>
      <w:numFmt w:val="decimal"/>
      <w:lvlText w:val="%1"/>
      <w:lvlJc w:val="left"/>
      <w:pPr>
        <w:ind w:left="1173" w:hanging="540"/>
      </w:pPr>
      <w:rPr>
        <w:rFonts w:hint="default"/>
        <w:lang w:val="en-US" w:eastAsia="en-US" w:bidi="ar-SA"/>
      </w:rPr>
    </w:lvl>
    <w:lvl w:ilvl="1">
      <w:start w:val="3"/>
      <w:numFmt w:val="decimal"/>
      <w:lvlText w:val="%1.%2"/>
      <w:lvlJc w:val="left"/>
      <w:pPr>
        <w:ind w:left="1173" w:hanging="540"/>
      </w:pPr>
      <w:rPr>
        <w:rFonts w:hint="default"/>
        <w:lang w:val="en-US" w:eastAsia="en-US" w:bidi="ar-SA"/>
      </w:rPr>
    </w:lvl>
    <w:lvl w:ilvl="2">
      <w:start w:val="1"/>
      <w:numFmt w:val="decimal"/>
      <w:lvlText w:val="%1.%2.%3"/>
      <w:lvlJc w:val="left"/>
      <w:pPr>
        <w:ind w:left="1173" w:hanging="540"/>
      </w:pPr>
      <w:rPr>
        <w:rFonts w:ascii="Calibri Light" w:eastAsia="Calibri Light" w:hAnsi="Calibri Light" w:cs="Calibri Light" w:hint="default"/>
        <w:color w:val="004493"/>
        <w:spacing w:val="-2"/>
        <w:w w:val="100"/>
        <w:sz w:val="24"/>
        <w:szCs w:val="24"/>
        <w:lang w:val="en-US" w:eastAsia="en-US" w:bidi="ar-SA"/>
      </w:rPr>
    </w:lvl>
    <w:lvl w:ilvl="3">
      <w:start w:val="1"/>
      <w:numFmt w:val="decimal"/>
      <w:lvlText w:val="%4."/>
      <w:lvlJc w:val="left"/>
      <w:pPr>
        <w:ind w:left="1354" w:hanging="360"/>
      </w:pPr>
      <w:rPr>
        <w:rFonts w:hint="default"/>
        <w:spacing w:val="-1"/>
        <w:w w:val="99"/>
        <w:lang w:val="en-US" w:eastAsia="en-US" w:bidi="ar-SA"/>
      </w:rPr>
    </w:lvl>
    <w:lvl w:ilvl="4">
      <w:numFmt w:val="bullet"/>
      <w:lvlText w:val="•"/>
      <w:lvlJc w:val="left"/>
      <w:pPr>
        <w:ind w:left="4178" w:hanging="360"/>
      </w:pPr>
      <w:rPr>
        <w:rFonts w:hint="default"/>
        <w:lang w:val="en-US" w:eastAsia="en-US" w:bidi="ar-SA"/>
      </w:rPr>
    </w:lvl>
    <w:lvl w:ilvl="5">
      <w:numFmt w:val="bullet"/>
      <w:lvlText w:val="•"/>
      <w:lvlJc w:val="left"/>
      <w:pPr>
        <w:ind w:left="5120" w:hanging="360"/>
      </w:pPr>
      <w:rPr>
        <w:rFonts w:hint="default"/>
        <w:lang w:val="en-US" w:eastAsia="en-US" w:bidi="ar-SA"/>
      </w:rPr>
    </w:lvl>
    <w:lvl w:ilvl="6">
      <w:numFmt w:val="bullet"/>
      <w:lvlText w:val="•"/>
      <w:lvlJc w:val="left"/>
      <w:pPr>
        <w:ind w:left="6063" w:hanging="360"/>
      </w:pPr>
      <w:rPr>
        <w:rFonts w:hint="default"/>
        <w:lang w:val="en-US" w:eastAsia="en-US" w:bidi="ar-SA"/>
      </w:rPr>
    </w:lvl>
    <w:lvl w:ilvl="7">
      <w:numFmt w:val="bullet"/>
      <w:lvlText w:val="•"/>
      <w:lvlJc w:val="left"/>
      <w:pPr>
        <w:ind w:left="7005" w:hanging="360"/>
      </w:pPr>
      <w:rPr>
        <w:rFonts w:hint="default"/>
        <w:lang w:val="en-US" w:eastAsia="en-US" w:bidi="ar-SA"/>
      </w:rPr>
    </w:lvl>
    <w:lvl w:ilvl="8">
      <w:numFmt w:val="bullet"/>
      <w:lvlText w:val="•"/>
      <w:lvlJc w:val="left"/>
      <w:pPr>
        <w:ind w:left="7947" w:hanging="360"/>
      </w:pPr>
      <w:rPr>
        <w:rFonts w:hint="default"/>
        <w:lang w:val="en-US" w:eastAsia="en-US" w:bidi="ar-SA"/>
      </w:rPr>
    </w:lvl>
  </w:abstractNum>
  <w:abstractNum w:abstractNumId="21" w15:restartNumberingAfterBreak="0">
    <w:nsid w:val="092C0D72"/>
    <w:multiLevelType w:val="multilevel"/>
    <w:tmpl w:val="EC46F4C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23" w15:restartNumberingAfterBreak="0">
    <w:nsid w:val="0A337FBB"/>
    <w:multiLevelType w:val="multilevel"/>
    <w:tmpl w:val="007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A7D1A4F"/>
    <w:multiLevelType w:val="multilevel"/>
    <w:tmpl w:val="ECCE3C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85477F"/>
    <w:multiLevelType w:val="multilevel"/>
    <w:tmpl w:val="1FD22758"/>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0AAD48E2"/>
    <w:multiLevelType w:val="multilevel"/>
    <w:tmpl w:val="927066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AEC4243"/>
    <w:multiLevelType w:val="multilevel"/>
    <w:tmpl w:val="7CBE1F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891C1C"/>
    <w:multiLevelType w:val="multilevel"/>
    <w:tmpl w:val="38AC69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50763F"/>
    <w:multiLevelType w:val="hybridMultilevel"/>
    <w:tmpl w:val="63F2C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0D5F49C5"/>
    <w:multiLevelType w:val="hybridMultilevel"/>
    <w:tmpl w:val="C7FCC568"/>
    <w:lvl w:ilvl="0" w:tplc="BD001E26">
      <w:start w:val="1"/>
      <w:numFmt w:val="decimal"/>
      <w:lvlText w:val="%1."/>
      <w:lvlJc w:val="left"/>
      <w:pPr>
        <w:ind w:left="720" w:hanging="360"/>
      </w:pPr>
    </w:lvl>
    <w:lvl w:ilvl="1" w:tplc="EC86718E">
      <w:start w:val="1"/>
      <w:numFmt w:val="lowerLetter"/>
      <w:lvlText w:val="%2."/>
      <w:lvlJc w:val="left"/>
      <w:pPr>
        <w:ind w:left="1440" w:hanging="360"/>
      </w:pPr>
    </w:lvl>
    <w:lvl w:ilvl="2" w:tplc="D084D05A">
      <w:start w:val="1"/>
      <w:numFmt w:val="lowerRoman"/>
      <w:lvlText w:val="%3."/>
      <w:lvlJc w:val="right"/>
      <w:pPr>
        <w:ind w:left="2160" w:hanging="180"/>
      </w:pPr>
    </w:lvl>
    <w:lvl w:ilvl="3" w:tplc="C3505AC2">
      <w:start w:val="1"/>
      <w:numFmt w:val="decimal"/>
      <w:lvlText w:val="%4."/>
      <w:lvlJc w:val="left"/>
      <w:pPr>
        <w:ind w:left="2880" w:hanging="360"/>
      </w:pPr>
    </w:lvl>
    <w:lvl w:ilvl="4" w:tplc="1B54B906">
      <w:start w:val="1"/>
      <w:numFmt w:val="lowerLetter"/>
      <w:lvlText w:val="%5."/>
      <w:lvlJc w:val="left"/>
      <w:pPr>
        <w:ind w:left="3600" w:hanging="360"/>
      </w:pPr>
    </w:lvl>
    <w:lvl w:ilvl="5" w:tplc="CA68705E">
      <w:start w:val="1"/>
      <w:numFmt w:val="lowerRoman"/>
      <w:lvlText w:val="%6."/>
      <w:lvlJc w:val="right"/>
      <w:pPr>
        <w:ind w:left="4320" w:hanging="180"/>
      </w:pPr>
    </w:lvl>
    <w:lvl w:ilvl="6" w:tplc="4BB6066A">
      <w:start w:val="1"/>
      <w:numFmt w:val="decimal"/>
      <w:lvlText w:val="%7."/>
      <w:lvlJc w:val="left"/>
      <w:pPr>
        <w:ind w:left="5040" w:hanging="360"/>
      </w:pPr>
    </w:lvl>
    <w:lvl w:ilvl="7" w:tplc="5F628D30">
      <w:start w:val="1"/>
      <w:numFmt w:val="lowerLetter"/>
      <w:lvlText w:val="%8."/>
      <w:lvlJc w:val="left"/>
      <w:pPr>
        <w:ind w:left="5760" w:hanging="360"/>
      </w:pPr>
    </w:lvl>
    <w:lvl w:ilvl="8" w:tplc="E66A21F2">
      <w:start w:val="1"/>
      <w:numFmt w:val="lowerRoman"/>
      <w:lvlText w:val="%9."/>
      <w:lvlJc w:val="right"/>
      <w:pPr>
        <w:ind w:left="6480" w:hanging="180"/>
      </w:pPr>
    </w:lvl>
  </w:abstractNum>
  <w:abstractNum w:abstractNumId="31" w15:restartNumberingAfterBreak="0">
    <w:nsid w:val="0D6473B9"/>
    <w:multiLevelType w:val="multilevel"/>
    <w:tmpl w:val="9A80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DA65DCD"/>
    <w:multiLevelType w:val="multilevel"/>
    <w:tmpl w:val="80F82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E992637"/>
    <w:multiLevelType w:val="multilevel"/>
    <w:tmpl w:val="71983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EAF0763"/>
    <w:multiLevelType w:val="hybridMultilevel"/>
    <w:tmpl w:val="303E27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EB42F32"/>
    <w:multiLevelType w:val="multilevel"/>
    <w:tmpl w:val="BDC0E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0EBC63CD"/>
    <w:multiLevelType w:val="multilevel"/>
    <w:tmpl w:val="09E86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0054D46"/>
    <w:multiLevelType w:val="multilevel"/>
    <w:tmpl w:val="58C853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0147FC3"/>
    <w:multiLevelType w:val="multilevel"/>
    <w:tmpl w:val="596E35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08317FA"/>
    <w:multiLevelType w:val="multilevel"/>
    <w:tmpl w:val="0876D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0B65C1B"/>
    <w:multiLevelType w:val="multilevel"/>
    <w:tmpl w:val="6930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26720B2"/>
    <w:multiLevelType w:val="multilevel"/>
    <w:tmpl w:val="BD6EBB5C"/>
    <w:styleLink w:val="Llistaactiva1"/>
    <w:lvl w:ilvl="0">
      <w:start w:val="2"/>
      <w:numFmt w:val="decimal"/>
      <w:lvlText w:val="%1"/>
      <w:lvlJc w:val="left"/>
      <w:pPr>
        <w:ind w:left="1173" w:hanging="540"/>
      </w:pPr>
      <w:rPr>
        <w:rFonts w:hint="default"/>
        <w:lang w:val="en-US" w:eastAsia="en-US" w:bidi="ar-SA"/>
      </w:rPr>
    </w:lvl>
    <w:lvl w:ilvl="1">
      <w:start w:val="3"/>
      <w:numFmt w:val="decimal"/>
      <w:lvlText w:val="%1.%2"/>
      <w:lvlJc w:val="left"/>
      <w:pPr>
        <w:ind w:left="1173" w:hanging="540"/>
      </w:pPr>
      <w:rPr>
        <w:rFonts w:hint="default"/>
        <w:lang w:val="en-US" w:eastAsia="en-US" w:bidi="ar-SA"/>
      </w:rPr>
    </w:lvl>
    <w:lvl w:ilvl="2">
      <w:start w:val="1"/>
      <w:numFmt w:val="decimal"/>
      <w:lvlText w:val="%1.%2.%3"/>
      <w:lvlJc w:val="left"/>
      <w:pPr>
        <w:ind w:left="1173" w:hanging="540"/>
      </w:pPr>
      <w:rPr>
        <w:rFonts w:ascii="Calibri Light" w:eastAsia="Calibri Light" w:hAnsi="Calibri Light" w:cs="Calibri Light" w:hint="default"/>
        <w:color w:val="004493"/>
        <w:spacing w:val="-2"/>
        <w:w w:val="100"/>
        <w:sz w:val="24"/>
        <w:szCs w:val="24"/>
        <w:lang w:val="en-US" w:eastAsia="en-US" w:bidi="ar-SA"/>
      </w:rPr>
    </w:lvl>
    <w:lvl w:ilvl="3">
      <w:start w:val="1"/>
      <w:numFmt w:val="decimal"/>
      <w:lvlText w:val="%4."/>
      <w:lvlJc w:val="left"/>
      <w:pPr>
        <w:ind w:left="1354" w:hanging="360"/>
      </w:pPr>
      <w:rPr>
        <w:rFonts w:hint="default"/>
        <w:spacing w:val="-1"/>
        <w:w w:val="99"/>
        <w:lang w:val="en-US" w:eastAsia="en-US" w:bidi="ar-SA"/>
      </w:rPr>
    </w:lvl>
    <w:lvl w:ilvl="4">
      <w:numFmt w:val="bullet"/>
      <w:lvlText w:val="•"/>
      <w:lvlJc w:val="left"/>
      <w:pPr>
        <w:ind w:left="4178" w:hanging="360"/>
      </w:pPr>
      <w:rPr>
        <w:rFonts w:hint="default"/>
        <w:lang w:val="en-US" w:eastAsia="en-US" w:bidi="ar-SA"/>
      </w:rPr>
    </w:lvl>
    <w:lvl w:ilvl="5">
      <w:numFmt w:val="bullet"/>
      <w:lvlText w:val="•"/>
      <w:lvlJc w:val="left"/>
      <w:pPr>
        <w:ind w:left="5120" w:hanging="360"/>
      </w:pPr>
      <w:rPr>
        <w:rFonts w:hint="default"/>
        <w:lang w:val="en-US" w:eastAsia="en-US" w:bidi="ar-SA"/>
      </w:rPr>
    </w:lvl>
    <w:lvl w:ilvl="6">
      <w:numFmt w:val="bullet"/>
      <w:lvlText w:val="•"/>
      <w:lvlJc w:val="left"/>
      <w:pPr>
        <w:ind w:left="6063" w:hanging="360"/>
      </w:pPr>
      <w:rPr>
        <w:rFonts w:hint="default"/>
        <w:lang w:val="en-US" w:eastAsia="en-US" w:bidi="ar-SA"/>
      </w:rPr>
    </w:lvl>
    <w:lvl w:ilvl="7">
      <w:numFmt w:val="bullet"/>
      <w:lvlText w:val="•"/>
      <w:lvlJc w:val="left"/>
      <w:pPr>
        <w:ind w:left="7005" w:hanging="360"/>
      </w:pPr>
      <w:rPr>
        <w:rFonts w:hint="default"/>
        <w:lang w:val="en-US" w:eastAsia="en-US" w:bidi="ar-SA"/>
      </w:rPr>
    </w:lvl>
    <w:lvl w:ilvl="8">
      <w:numFmt w:val="bullet"/>
      <w:lvlText w:val="•"/>
      <w:lvlJc w:val="left"/>
      <w:pPr>
        <w:ind w:left="7947" w:hanging="360"/>
      </w:pPr>
      <w:rPr>
        <w:rFonts w:hint="default"/>
        <w:lang w:val="en-US" w:eastAsia="en-US" w:bidi="ar-SA"/>
      </w:rPr>
    </w:lvl>
  </w:abstractNum>
  <w:abstractNum w:abstractNumId="43" w15:restartNumberingAfterBreak="0">
    <w:nsid w:val="12DC2F65"/>
    <w:multiLevelType w:val="hybridMultilevel"/>
    <w:tmpl w:val="061467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324112D"/>
    <w:multiLevelType w:val="multilevel"/>
    <w:tmpl w:val="3214B8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38763E6"/>
    <w:multiLevelType w:val="multilevel"/>
    <w:tmpl w:val="63A40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3FF638C"/>
    <w:multiLevelType w:val="multilevel"/>
    <w:tmpl w:val="8AA0C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41A572B"/>
    <w:multiLevelType w:val="multilevel"/>
    <w:tmpl w:val="B106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48A3132"/>
    <w:multiLevelType w:val="multilevel"/>
    <w:tmpl w:val="2292A8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5870736"/>
    <w:multiLevelType w:val="multilevel"/>
    <w:tmpl w:val="837253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5C904EA"/>
    <w:multiLevelType w:val="multilevel"/>
    <w:tmpl w:val="72F2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63C23B9"/>
    <w:multiLevelType w:val="hybridMultilevel"/>
    <w:tmpl w:val="125E226A"/>
    <w:lvl w:ilvl="0" w:tplc="4AB218E2">
      <w:start w:val="1"/>
      <w:numFmt w:val="bullet"/>
      <w:lvlText w:val="-"/>
      <w:lvlJc w:val="left"/>
      <w:pPr>
        <w:ind w:left="720" w:hanging="360"/>
      </w:pPr>
      <w:rPr>
        <w:rFonts w:ascii="Calibri Light" w:eastAsiaTheme="minorEastAsia"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C940FC"/>
    <w:multiLevelType w:val="multilevel"/>
    <w:tmpl w:val="973C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6DA6038"/>
    <w:multiLevelType w:val="multilevel"/>
    <w:tmpl w:val="1AC2EF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7F25C43"/>
    <w:multiLevelType w:val="multilevel"/>
    <w:tmpl w:val="A1A6CE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8BD3CC7"/>
    <w:multiLevelType w:val="multilevel"/>
    <w:tmpl w:val="9C82A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9A17D91"/>
    <w:multiLevelType w:val="multilevel"/>
    <w:tmpl w:val="C97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B6B1939"/>
    <w:multiLevelType w:val="multilevel"/>
    <w:tmpl w:val="CC4E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BCB3628"/>
    <w:multiLevelType w:val="hybridMultilevel"/>
    <w:tmpl w:val="D1DA431E"/>
    <w:lvl w:ilvl="0" w:tplc="437A1CEA">
      <w:start w:val="1"/>
      <w:numFmt w:val="bullet"/>
      <w:lvlText w:val=""/>
      <w:lvlJc w:val="left"/>
      <w:pPr>
        <w:ind w:left="720" w:hanging="360"/>
      </w:pPr>
      <w:rPr>
        <w:rFonts w:ascii="Symbol" w:hAnsi="Symbol" w:hint="default"/>
      </w:rPr>
    </w:lvl>
    <w:lvl w:ilvl="1" w:tplc="835CD30E">
      <w:start w:val="1"/>
      <w:numFmt w:val="bullet"/>
      <w:lvlText w:val="o"/>
      <w:lvlJc w:val="left"/>
      <w:pPr>
        <w:ind w:left="1440" w:hanging="360"/>
      </w:pPr>
      <w:rPr>
        <w:rFonts w:ascii="Courier New" w:hAnsi="Courier New" w:hint="default"/>
      </w:rPr>
    </w:lvl>
    <w:lvl w:ilvl="2" w:tplc="63F40AFC">
      <w:start w:val="1"/>
      <w:numFmt w:val="bullet"/>
      <w:lvlText w:val=""/>
      <w:lvlJc w:val="left"/>
      <w:pPr>
        <w:ind w:left="2160" w:hanging="360"/>
      </w:pPr>
      <w:rPr>
        <w:rFonts w:ascii="Wingdings" w:hAnsi="Wingdings" w:hint="default"/>
      </w:rPr>
    </w:lvl>
    <w:lvl w:ilvl="3" w:tplc="CCD227AC">
      <w:start w:val="1"/>
      <w:numFmt w:val="bullet"/>
      <w:lvlText w:val=""/>
      <w:lvlJc w:val="left"/>
      <w:pPr>
        <w:ind w:left="2880" w:hanging="360"/>
      </w:pPr>
      <w:rPr>
        <w:rFonts w:ascii="Symbol" w:hAnsi="Symbol" w:hint="default"/>
      </w:rPr>
    </w:lvl>
    <w:lvl w:ilvl="4" w:tplc="68C84DFE">
      <w:start w:val="1"/>
      <w:numFmt w:val="bullet"/>
      <w:lvlText w:val="o"/>
      <w:lvlJc w:val="left"/>
      <w:pPr>
        <w:ind w:left="3600" w:hanging="360"/>
      </w:pPr>
      <w:rPr>
        <w:rFonts w:ascii="Courier New" w:hAnsi="Courier New" w:hint="default"/>
      </w:rPr>
    </w:lvl>
    <w:lvl w:ilvl="5" w:tplc="76924458">
      <w:start w:val="1"/>
      <w:numFmt w:val="bullet"/>
      <w:lvlText w:val=""/>
      <w:lvlJc w:val="left"/>
      <w:pPr>
        <w:ind w:left="4320" w:hanging="360"/>
      </w:pPr>
      <w:rPr>
        <w:rFonts w:ascii="Wingdings" w:hAnsi="Wingdings" w:hint="default"/>
      </w:rPr>
    </w:lvl>
    <w:lvl w:ilvl="6" w:tplc="60F879EA">
      <w:start w:val="1"/>
      <w:numFmt w:val="bullet"/>
      <w:lvlText w:val=""/>
      <w:lvlJc w:val="left"/>
      <w:pPr>
        <w:ind w:left="5040" w:hanging="360"/>
      </w:pPr>
      <w:rPr>
        <w:rFonts w:ascii="Symbol" w:hAnsi="Symbol" w:hint="default"/>
      </w:rPr>
    </w:lvl>
    <w:lvl w:ilvl="7" w:tplc="81AE7484">
      <w:start w:val="1"/>
      <w:numFmt w:val="bullet"/>
      <w:lvlText w:val="o"/>
      <w:lvlJc w:val="left"/>
      <w:pPr>
        <w:ind w:left="5760" w:hanging="360"/>
      </w:pPr>
      <w:rPr>
        <w:rFonts w:ascii="Courier New" w:hAnsi="Courier New" w:hint="default"/>
      </w:rPr>
    </w:lvl>
    <w:lvl w:ilvl="8" w:tplc="5142BDC2">
      <w:start w:val="1"/>
      <w:numFmt w:val="bullet"/>
      <w:lvlText w:val=""/>
      <w:lvlJc w:val="left"/>
      <w:pPr>
        <w:ind w:left="6480" w:hanging="360"/>
      </w:pPr>
      <w:rPr>
        <w:rFonts w:ascii="Wingdings" w:hAnsi="Wingdings" w:hint="default"/>
      </w:rPr>
    </w:lvl>
  </w:abstractNum>
  <w:abstractNum w:abstractNumId="59" w15:restartNumberingAfterBreak="0">
    <w:nsid w:val="1BF00D11"/>
    <w:multiLevelType w:val="multilevel"/>
    <w:tmpl w:val="EFFAFC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1BF243F0"/>
    <w:multiLevelType w:val="multilevel"/>
    <w:tmpl w:val="FEAED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C966495"/>
    <w:multiLevelType w:val="multilevel"/>
    <w:tmpl w:val="E3B2A36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1CA101F1"/>
    <w:multiLevelType w:val="multilevel"/>
    <w:tmpl w:val="76F653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1CCB5944"/>
    <w:multiLevelType w:val="multilevel"/>
    <w:tmpl w:val="91CCA1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D0C0115"/>
    <w:multiLevelType w:val="multilevel"/>
    <w:tmpl w:val="566CE3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1D2974DE"/>
    <w:multiLevelType w:val="multilevel"/>
    <w:tmpl w:val="8966B5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D30AD7B"/>
    <w:multiLevelType w:val="hybridMultilevel"/>
    <w:tmpl w:val="1A0ED762"/>
    <w:lvl w:ilvl="0" w:tplc="4474755E">
      <w:start w:val="1"/>
      <w:numFmt w:val="bullet"/>
      <w:lvlText w:val=""/>
      <w:lvlJc w:val="left"/>
      <w:pPr>
        <w:ind w:left="720" w:hanging="360"/>
      </w:pPr>
      <w:rPr>
        <w:rFonts w:ascii="Symbol" w:hAnsi="Symbol" w:hint="default"/>
      </w:rPr>
    </w:lvl>
    <w:lvl w:ilvl="1" w:tplc="F236B5AE">
      <w:start w:val="1"/>
      <w:numFmt w:val="bullet"/>
      <w:lvlText w:val="o"/>
      <w:lvlJc w:val="left"/>
      <w:pPr>
        <w:ind w:left="1440" w:hanging="360"/>
      </w:pPr>
      <w:rPr>
        <w:rFonts w:ascii="Courier New" w:hAnsi="Courier New" w:hint="default"/>
      </w:rPr>
    </w:lvl>
    <w:lvl w:ilvl="2" w:tplc="67F0C14A">
      <w:start w:val="1"/>
      <w:numFmt w:val="bullet"/>
      <w:lvlText w:val=""/>
      <w:lvlJc w:val="left"/>
      <w:pPr>
        <w:ind w:left="2160" w:hanging="360"/>
      </w:pPr>
      <w:rPr>
        <w:rFonts w:ascii="Wingdings" w:hAnsi="Wingdings" w:hint="default"/>
      </w:rPr>
    </w:lvl>
    <w:lvl w:ilvl="3" w:tplc="BF56CC76">
      <w:start w:val="1"/>
      <w:numFmt w:val="bullet"/>
      <w:lvlText w:val=""/>
      <w:lvlJc w:val="left"/>
      <w:pPr>
        <w:ind w:left="2880" w:hanging="360"/>
      </w:pPr>
      <w:rPr>
        <w:rFonts w:ascii="Symbol" w:hAnsi="Symbol" w:hint="default"/>
      </w:rPr>
    </w:lvl>
    <w:lvl w:ilvl="4" w:tplc="3F3E7730">
      <w:start w:val="1"/>
      <w:numFmt w:val="bullet"/>
      <w:lvlText w:val="o"/>
      <w:lvlJc w:val="left"/>
      <w:pPr>
        <w:ind w:left="3600" w:hanging="360"/>
      </w:pPr>
      <w:rPr>
        <w:rFonts w:ascii="Courier New" w:hAnsi="Courier New" w:hint="default"/>
      </w:rPr>
    </w:lvl>
    <w:lvl w:ilvl="5" w:tplc="C9F8E842">
      <w:start w:val="1"/>
      <w:numFmt w:val="bullet"/>
      <w:lvlText w:val=""/>
      <w:lvlJc w:val="left"/>
      <w:pPr>
        <w:ind w:left="4320" w:hanging="360"/>
      </w:pPr>
      <w:rPr>
        <w:rFonts w:ascii="Wingdings" w:hAnsi="Wingdings" w:hint="default"/>
      </w:rPr>
    </w:lvl>
    <w:lvl w:ilvl="6" w:tplc="DA382B66">
      <w:start w:val="1"/>
      <w:numFmt w:val="bullet"/>
      <w:lvlText w:val=""/>
      <w:lvlJc w:val="left"/>
      <w:pPr>
        <w:ind w:left="5040" w:hanging="360"/>
      </w:pPr>
      <w:rPr>
        <w:rFonts w:ascii="Symbol" w:hAnsi="Symbol" w:hint="default"/>
      </w:rPr>
    </w:lvl>
    <w:lvl w:ilvl="7" w:tplc="60FC08A8">
      <w:start w:val="1"/>
      <w:numFmt w:val="bullet"/>
      <w:lvlText w:val="o"/>
      <w:lvlJc w:val="left"/>
      <w:pPr>
        <w:ind w:left="5760" w:hanging="360"/>
      </w:pPr>
      <w:rPr>
        <w:rFonts w:ascii="Courier New" w:hAnsi="Courier New" w:hint="default"/>
      </w:rPr>
    </w:lvl>
    <w:lvl w:ilvl="8" w:tplc="55FCFB9E">
      <w:start w:val="1"/>
      <w:numFmt w:val="bullet"/>
      <w:lvlText w:val=""/>
      <w:lvlJc w:val="left"/>
      <w:pPr>
        <w:ind w:left="6480" w:hanging="360"/>
      </w:pPr>
      <w:rPr>
        <w:rFonts w:ascii="Wingdings" w:hAnsi="Wingdings" w:hint="default"/>
      </w:rPr>
    </w:lvl>
  </w:abstractNum>
  <w:abstractNum w:abstractNumId="67" w15:restartNumberingAfterBreak="0">
    <w:nsid w:val="1D433F3B"/>
    <w:multiLevelType w:val="multilevel"/>
    <w:tmpl w:val="1D76A9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E097D55"/>
    <w:multiLevelType w:val="multilevel"/>
    <w:tmpl w:val="3C423BA2"/>
    <w:lvl w:ilvl="0">
      <w:start w:val="1"/>
      <w:numFmt w:val="decimal"/>
      <w:lvlText w:val="%1"/>
      <w:lvlJc w:val="left"/>
      <w:pPr>
        <w:ind w:left="720" w:hanging="720"/>
      </w:pPr>
      <w:rPr>
        <w:rFonts w:hint="default"/>
      </w:rPr>
    </w:lvl>
    <w:lvl w:ilvl="1">
      <w:start w:val="1"/>
      <w:numFmt w:val="decimal"/>
      <w:pStyle w:val="heading2numbered"/>
      <w:lvlText w:val="%1.%2"/>
      <w:lvlJc w:val="left"/>
      <w:pPr>
        <w:ind w:left="720" w:hanging="720"/>
      </w:pPr>
      <w:rPr>
        <w:rFonts w:hint="default"/>
      </w:rPr>
    </w:lvl>
    <w:lvl w:ilvl="2">
      <w:start w:val="1"/>
      <w:numFmt w:val="decimal"/>
      <w:pStyle w:val="heading3numbered"/>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1E113157"/>
    <w:multiLevelType w:val="multilevel"/>
    <w:tmpl w:val="1B76DC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1E5E2256"/>
    <w:multiLevelType w:val="multilevel"/>
    <w:tmpl w:val="ECC86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F1C31DF"/>
    <w:multiLevelType w:val="multilevel"/>
    <w:tmpl w:val="0148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F3A2A1A"/>
    <w:multiLevelType w:val="multilevel"/>
    <w:tmpl w:val="D8C0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F5C42B6"/>
    <w:multiLevelType w:val="multilevel"/>
    <w:tmpl w:val="255EF6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0CB5440"/>
    <w:multiLevelType w:val="hybridMultilevel"/>
    <w:tmpl w:val="826E4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1BE1BC2"/>
    <w:multiLevelType w:val="multilevel"/>
    <w:tmpl w:val="1802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224707C"/>
    <w:multiLevelType w:val="multilevel"/>
    <w:tmpl w:val="464C5C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235106F"/>
    <w:multiLevelType w:val="multilevel"/>
    <w:tmpl w:val="409A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235752C"/>
    <w:multiLevelType w:val="multilevel"/>
    <w:tmpl w:val="B2E20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27D4485"/>
    <w:multiLevelType w:val="multilevel"/>
    <w:tmpl w:val="C8FC00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23076CB3"/>
    <w:multiLevelType w:val="multilevel"/>
    <w:tmpl w:val="C6621E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37C115B"/>
    <w:multiLevelType w:val="multilevel"/>
    <w:tmpl w:val="0DD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40B6496"/>
    <w:multiLevelType w:val="multilevel"/>
    <w:tmpl w:val="4800A8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241503C3"/>
    <w:multiLevelType w:val="multilevel"/>
    <w:tmpl w:val="E09689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4255875"/>
    <w:multiLevelType w:val="hybridMultilevel"/>
    <w:tmpl w:val="84B826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4B15918"/>
    <w:multiLevelType w:val="multilevel"/>
    <w:tmpl w:val="4DB480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258219EC"/>
    <w:multiLevelType w:val="multilevel"/>
    <w:tmpl w:val="4C48B67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7" w15:restartNumberingAfterBreak="0">
    <w:nsid w:val="25D33710"/>
    <w:multiLevelType w:val="multilevel"/>
    <w:tmpl w:val="614C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653076D"/>
    <w:multiLevelType w:val="multilevel"/>
    <w:tmpl w:val="0F8A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6AC5494"/>
    <w:multiLevelType w:val="multilevel"/>
    <w:tmpl w:val="05DC3D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6D87170"/>
    <w:multiLevelType w:val="multilevel"/>
    <w:tmpl w:val="4C5A82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26EB37C1"/>
    <w:multiLevelType w:val="multilevel"/>
    <w:tmpl w:val="5A6A25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8230C58"/>
    <w:multiLevelType w:val="multilevel"/>
    <w:tmpl w:val="860E7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82838E8"/>
    <w:multiLevelType w:val="multilevel"/>
    <w:tmpl w:val="C6B0CE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8339789"/>
    <w:multiLevelType w:val="hybridMultilevel"/>
    <w:tmpl w:val="6C765C54"/>
    <w:lvl w:ilvl="0" w:tplc="6C50A5D2">
      <w:start w:val="1"/>
      <w:numFmt w:val="bullet"/>
      <w:lvlText w:val=""/>
      <w:lvlJc w:val="left"/>
      <w:pPr>
        <w:ind w:left="720" w:hanging="360"/>
      </w:pPr>
      <w:rPr>
        <w:rFonts w:ascii="Symbol" w:hAnsi="Symbol" w:hint="default"/>
      </w:rPr>
    </w:lvl>
    <w:lvl w:ilvl="1" w:tplc="E9FA9E62">
      <w:start w:val="1"/>
      <w:numFmt w:val="bullet"/>
      <w:lvlText w:val="o"/>
      <w:lvlJc w:val="left"/>
      <w:pPr>
        <w:ind w:left="1440" w:hanging="360"/>
      </w:pPr>
      <w:rPr>
        <w:rFonts w:ascii="Courier New" w:hAnsi="Courier New" w:hint="default"/>
      </w:rPr>
    </w:lvl>
    <w:lvl w:ilvl="2" w:tplc="9D706E0C">
      <w:start w:val="1"/>
      <w:numFmt w:val="bullet"/>
      <w:lvlText w:val=""/>
      <w:lvlJc w:val="left"/>
      <w:pPr>
        <w:ind w:left="2160" w:hanging="360"/>
      </w:pPr>
      <w:rPr>
        <w:rFonts w:ascii="Wingdings" w:hAnsi="Wingdings" w:hint="default"/>
      </w:rPr>
    </w:lvl>
    <w:lvl w:ilvl="3" w:tplc="414C8700">
      <w:start w:val="1"/>
      <w:numFmt w:val="bullet"/>
      <w:lvlText w:val=""/>
      <w:lvlJc w:val="left"/>
      <w:pPr>
        <w:ind w:left="2880" w:hanging="360"/>
      </w:pPr>
      <w:rPr>
        <w:rFonts w:ascii="Symbol" w:hAnsi="Symbol" w:hint="default"/>
      </w:rPr>
    </w:lvl>
    <w:lvl w:ilvl="4" w:tplc="95AA2002">
      <w:start w:val="1"/>
      <w:numFmt w:val="bullet"/>
      <w:lvlText w:val="o"/>
      <w:lvlJc w:val="left"/>
      <w:pPr>
        <w:ind w:left="3600" w:hanging="360"/>
      </w:pPr>
      <w:rPr>
        <w:rFonts w:ascii="Courier New" w:hAnsi="Courier New" w:hint="default"/>
      </w:rPr>
    </w:lvl>
    <w:lvl w:ilvl="5" w:tplc="2F089B0E">
      <w:start w:val="1"/>
      <w:numFmt w:val="bullet"/>
      <w:lvlText w:val=""/>
      <w:lvlJc w:val="left"/>
      <w:pPr>
        <w:ind w:left="4320" w:hanging="360"/>
      </w:pPr>
      <w:rPr>
        <w:rFonts w:ascii="Wingdings" w:hAnsi="Wingdings" w:hint="default"/>
      </w:rPr>
    </w:lvl>
    <w:lvl w:ilvl="6" w:tplc="F7260CDE">
      <w:start w:val="1"/>
      <w:numFmt w:val="bullet"/>
      <w:lvlText w:val=""/>
      <w:lvlJc w:val="left"/>
      <w:pPr>
        <w:ind w:left="5040" w:hanging="360"/>
      </w:pPr>
      <w:rPr>
        <w:rFonts w:ascii="Symbol" w:hAnsi="Symbol" w:hint="default"/>
      </w:rPr>
    </w:lvl>
    <w:lvl w:ilvl="7" w:tplc="EF5639E4">
      <w:start w:val="1"/>
      <w:numFmt w:val="bullet"/>
      <w:lvlText w:val="o"/>
      <w:lvlJc w:val="left"/>
      <w:pPr>
        <w:ind w:left="5760" w:hanging="360"/>
      </w:pPr>
      <w:rPr>
        <w:rFonts w:ascii="Courier New" w:hAnsi="Courier New" w:hint="default"/>
      </w:rPr>
    </w:lvl>
    <w:lvl w:ilvl="8" w:tplc="48A65AA2">
      <w:start w:val="1"/>
      <w:numFmt w:val="bullet"/>
      <w:lvlText w:val=""/>
      <w:lvlJc w:val="left"/>
      <w:pPr>
        <w:ind w:left="6480" w:hanging="360"/>
      </w:pPr>
      <w:rPr>
        <w:rFonts w:ascii="Wingdings" w:hAnsi="Wingdings" w:hint="default"/>
      </w:rPr>
    </w:lvl>
  </w:abstractNum>
  <w:abstractNum w:abstractNumId="95" w15:restartNumberingAfterBreak="0">
    <w:nsid w:val="28D11DFE"/>
    <w:multiLevelType w:val="multilevel"/>
    <w:tmpl w:val="86E4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9DA48B8"/>
    <w:multiLevelType w:val="multilevel"/>
    <w:tmpl w:val="1FE4B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9F13E17"/>
    <w:multiLevelType w:val="multilevel"/>
    <w:tmpl w:val="8D28A3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A88541D"/>
    <w:multiLevelType w:val="multilevel"/>
    <w:tmpl w:val="38B86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B27441C"/>
    <w:multiLevelType w:val="multilevel"/>
    <w:tmpl w:val="5EFE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C142595"/>
    <w:multiLevelType w:val="multilevel"/>
    <w:tmpl w:val="F58A43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2C4A4BB3"/>
    <w:multiLevelType w:val="hybridMultilevel"/>
    <w:tmpl w:val="B888E4EA"/>
    <w:lvl w:ilvl="0" w:tplc="4AB218E2">
      <w:start w:val="1"/>
      <w:numFmt w:val="bullet"/>
      <w:lvlText w:val="-"/>
      <w:lvlJc w:val="left"/>
      <w:pPr>
        <w:ind w:left="720" w:hanging="360"/>
      </w:pPr>
      <w:rPr>
        <w:rFonts w:ascii="Calibri Light" w:eastAsiaTheme="minorEastAsia"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C917748"/>
    <w:multiLevelType w:val="multilevel"/>
    <w:tmpl w:val="C5CC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C962D02"/>
    <w:multiLevelType w:val="multilevel"/>
    <w:tmpl w:val="C8A2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D002500"/>
    <w:multiLevelType w:val="multilevel"/>
    <w:tmpl w:val="5B54FA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D6006BE"/>
    <w:multiLevelType w:val="hybridMultilevel"/>
    <w:tmpl w:val="C3AAF248"/>
    <w:lvl w:ilvl="0" w:tplc="4AB218E2">
      <w:start w:val="1"/>
      <w:numFmt w:val="bullet"/>
      <w:lvlText w:val="-"/>
      <w:lvlJc w:val="left"/>
      <w:pPr>
        <w:ind w:left="720" w:hanging="360"/>
      </w:pPr>
      <w:rPr>
        <w:rFonts w:ascii="Calibri Light" w:eastAsiaTheme="minorEastAsia"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E3D0C27"/>
    <w:multiLevelType w:val="multilevel"/>
    <w:tmpl w:val="D0363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E9C5D65"/>
    <w:multiLevelType w:val="multilevel"/>
    <w:tmpl w:val="748CB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EA52200"/>
    <w:multiLevelType w:val="hybridMultilevel"/>
    <w:tmpl w:val="0EB8E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2F7F3705"/>
    <w:multiLevelType w:val="hybridMultilevel"/>
    <w:tmpl w:val="6B8C3DE0"/>
    <w:lvl w:ilvl="0" w:tplc="121ABD16">
      <w:start w:val="1"/>
      <w:numFmt w:val="bullet"/>
      <w:lvlText w:val=""/>
      <w:lvlJc w:val="left"/>
      <w:pPr>
        <w:ind w:left="720" w:hanging="360"/>
      </w:pPr>
      <w:rPr>
        <w:rFonts w:ascii="Symbol" w:hAnsi="Symbol" w:hint="default"/>
      </w:rPr>
    </w:lvl>
    <w:lvl w:ilvl="1" w:tplc="A9A0F2A0">
      <w:start w:val="1"/>
      <w:numFmt w:val="bullet"/>
      <w:lvlText w:val="o"/>
      <w:lvlJc w:val="left"/>
      <w:pPr>
        <w:ind w:left="1440" w:hanging="360"/>
      </w:pPr>
      <w:rPr>
        <w:rFonts w:ascii="Courier New" w:hAnsi="Courier New" w:hint="default"/>
      </w:rPr>
    </w:lvl>
    <w:lvl w:ilvl="2" w:tplc="7D50D488">
      <w:start w:val="1"/>
      <w:numFmt w:val="bullet"/>
      <w:lvlText w:val=""/>
      <w:lvlJc w:val="left"/>
      <w:pPr>
        <w:ind w:left="2160" w:hanging="360"/>
      </w:pPr>
      <w:rPr>
        <w:rFonts w:ascii="Wingdings" w:hAnsi="Wingdings" w:hint="default"/>
      </w:rPr>
    </w:lvl>
    <w:lvl w:ilvl="3" w:tplc="FEF6D1DC">
      <w:start w:val="1"/>
      <w:numFmt w:val="bullet"/>
      <w:lvlText w:val=""/>
      <w:lvlJc w:val="left"/>
      <w:pPr>
        <w:ind w:left="2880" w:hanging="360"/>
      </w:pPr>
      <w:rPr>
        <w:rFonts w:ascii="Symbol" w:hAnsi="Symbol" w:hint="default"/>
      </w:rPr>
    </w:lvl>
    <w:lvl w:ilvl="4" w:tplc="5CF0C2E8">
      <w:start w:val="1"/>
      <w:numFmt w:val="bullet"/>
      <w:lvlText w:val="o"/>
      <w:lvlJc w:val="left"/>
      <w:pPr>
        <w:ind w:left="3600" w:hanging="360"/>
      </w:pPr>
      <w:rPr>
        <w:rFonts w:ascii="Courier New" w:hAnsi="Courier New" w:hint="default"/>
      </w:rPr>
    </w:lvl>
    <w:lvl w:ilvl="5" w:tplc="BD9243A8">
      <w:start w:val="1"/>
      <w:numFmt w:val="bullet"/>
      <w:lvlText w:val=""/>
      <w:lvlJc w:val="left"/>
      <w:pPr>
        <w:ind w:left="4320" w:hanging="360"/>
      </w:pPr>
      <w:rPr>
        <w:rFonts w:ascii="Wingdings" w:hAnsi="Wingdings" w:hint="default"/>
      </w:rPr>
    </w:lvl>
    <w:lvl w:ilvl="6" w:tplc="F5FA3322">
      <w:start w:val="1"/>
      <w:numFmt w:val="bullet"/>
      <w:lvlText w:val=""/>
      <w:lvlJc w:val="left"/>
      <w:pPr>
        <w:ind w:left="5040" w:hanging="360"/>
      </w:pPr>
      <w:rPr>
        <w:rFonts w:ascii="Symbol" w:hAnsi="Symbol" w:hint="default"/>
      </w:rPr>
    </w:lvl>
    <w:lvl w:ilvl="7" w:tplc="FB3251FC">
      <w:start w:val="1"/>
      <w:numFmt w:val="bullet"/>
      <w:lvlText w:val="o"/>
      <w:lvlJc w:val="left"/>
      <w:pPr>
        <w:ind w:left="5760" w:hanging="360"/>
      </w:pPr>
      <w:rPr>
        <w:rFonts w:ascii="Courier New" w:hAnsi="Courier New" w:hint="default"/>
      </w:rPr>
    </w:lvl>
    <w:lvl w:ilvl="8" w:tplc="80A26462">
      <w:start w:val="1"/>
      <w:numFmt w:val="bullet"/>
      <w:lvlText w:val=""/>
      <w:lvlJc w:val="left"/>
      <w:pPr>
        <w:ind w:left="6480" w:hanging="360"/>
      </w:pPr>
      <w:rPr>
        <w:rFonts w:ascii="Wingdings" w:hAnsi="Wingdings" w:hint="default"/>
      </w:rPr>
    </w:lvl>
  </w:abstractNum>
  <w:abstractNum w:abstractNumId="110" w15:restartNumberingAfterBreak="0">
    <w:nsid w:val="30502F83"/>
    <w:multiLevelType w:val="multilevel"/>
    <w:tmpl w:val="C4627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075A783"/>
    <w:multiLevelType w:val="hybridMultilevel"/>
    <w:tmpl w:val="DA0485EE"/>
    <w:lvl w:ilvl="0" w:tplc="881C3BCA">
      <w:start w:val="1"/>
      <w:numFmt w:val="bullet"/>
      <w:lvlText w:val=""/>
      <w:lvlJc w:val="left"/>
      <w:pPr>
        <w:ind w:left="720" w:hanging="360"/>
      </w:pPr>
      <w:rPr>
        <w:rFonts w:ascii="Symbol" w:hAnsi="Symbol" w:hint="default"/>
      </w:rPr>
    </w:lvl>
    <w:lvl w:ilvl="1" w:tplc="40428CC4">
      <w:start w:val="1"/>
      <w:numFmt w:val="bullet"/>
      <w:lvlText w:val="o"/>
      <w:lvlJc w:val="left"/>
      <w:pPr>
        <w:ind w:left="1440" w:hanging="360"/>
      </w:pPr>
      <w:rPr>
        <w:rFonts w:ascii="Courier New" w:hAnsi="Courier New" w:hint="default"/>
      </w:rPr>
    </w:lvl>
    <w:lvl w:ilvl="2" w:tplc="BF8C04BE">
      <w:start w:val="1"/>
      <w:numFmt w:val="bullet"/>
      <w:lvlText w:val=""/>
      <w:lvlJc w:val="left"/>
      <w:pPr>
        <w:ind w:left="2160" w:hanging="360"/>
      </w:pPr>
      <w:rPr>
        <w:rFonts w:ascii="Wingdings" w:hAnsi="Wingdings" w:hint="default"/>
      </w:rPr>
    </w:lvl>
    <w:lvl w:ilvl="3" w:tplc="34FAAD24">
      <w:start w:val="1"/>
      <w:numFmt w:val="bullet"/>
      <w:lvlText w:val=""/>
      <w:lvlJc w:val="left"/>
      <w:pPr>
        <w:ind w:left="2880" w:hanging="360"/>
      </w:pPr>
      <w:rPr>
        <w:rFonts w:ascii="Symbol" w:hAnsi="Symbol" w:hint="default"/>
      </w:rPr>
    </w:lvl>
    <w:lvl w:ilvl="4" w:tplc="B3C06A9C">
      <w:start w:val="1"/>
      <w:numFmt w:val="bullet"/>
      <w:lvlText w:val="o"/>
      <w:lvlJc w:val="left"/>
      <w:pPr>
        <w:ind w:left="3600" w:hanging="360"/>
      </w:pPr>
      <w:rPr>
        <w:rFonts w:ascii="Courier New" w:hAnsi="Courier New" w:hint="default"/>
      </w:rPr>
    </w:lvl>
    <w:lvl w:ilvl="5" w:tplc="63F08282">
      <w:start w:val="1"/>
      <w:numFmt w:val="bullet"/>
      <w:lvlText w:val=""/>
      <w:lvlJc w:val="left"/>
      <w:pPr>
        <w:ind w:left="4320" w:hanging="360"/>
      </w:pPr>
      <w:rPr>
        <w:rFonts w:ascii="Wingdings" w:hAnsi="Wingdings" w:hint="default"/>
      </w:rPr>
    </w:lvl>
    <w:lvl w:ilvl="6" w:tplc="16DC3600">
      <w:start w:val="1"/>
      <w:numFmt w:val="bullet"/>
      <w:lvlText w:val=""/>
      <w:lvlJc w:val="left"/>
      <w:pPr>
        <w:ind w:left="5040" w:hanging="360"/>
      </w:pPr>
      <w:rPr>
        <w:rFonts w:ascii="Symbol" w:hAnsi="Symbol" w:hint="default"/>
      </w:rPr>
    </w:lvl>
    <w:lvl w:ilvl="7" w:tplc="0EFA0B38">
      <w:start w:val="1"/>
      <w:numFmt w:val="bullet"/>
      <w:lvlText w:val="o"/>
      <w:lvlJc w:val="left"/>
      <w:pPr>
        <w:ind w:left="5760" w:hanging="360"/>
      </w:pPr>
      <w:rPr>
        <w:rFonts w:ascii="Courier New" w:hAnsi="Courier New" w:hint="default"/>
      </w:rPr>
    </w:lvl>
    <w:lvl w:ilvl="8" w:tplc="AD72886A">
      <w:start w:val="1"/>
      <w:numFmt w:val="bullet"/>
      <w:lvlText w:val=""/>
      <w:lvlJc w:val="left"/>
      <w:pPr>
        <w:ind w:left="6480" w:hanging="360"/>
      </w:pPr>
      <w:rPr>
        <w:rFonts w:ascii="Wingdings" w:hAnsi="Wingdings" w:hint="default"/>
      </w:rPr>
    </w:lvl>
  </w:abstractNum>
  <w:abstractNum w:abstractNumId="112" w15:restartNumberingAfterBreak="0">
    <w:nsid w:val="30944CE7"/>
    <w:multiLevelType w:val="multilevel"/>
    <w:tmpl w:val="05FAAB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0AE34D7"/>
    <w:multiLevelType w:val="multilevel"/>
    <w:tmpl w:val="D41248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0B54584"/>
    <w:multiLevelType w:val="multilevel"/>
    <w:tmpl w:val="4A109E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1750F25"/>
    <w:multiLevelType w:val="multilevel"/>
    <w:tmpl w:val="4C0CE3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1E719D7"/>
    <w:multiLevelType w:val="multilevel"/>
    <w:tmpl w:val="13C48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2801F26"/>
    <w:multiLevelType w:val="multilevel"/>
    <w:tmpl w:val="62E0B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2AB143E"/>
    <w:multiLevelType w:val="multilevel"/>
    <w:tmpl w:val="62D4CF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33CF5961"/>
    <w:multiLevelType w:val="multilevel"/>
    <w:tmpl w:val="71DEC5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0" w15:restartNumberingAfterBreak="0">
    <w:nsid w:val="347D4D44"/>
    <w:multiLevelType w:val="multilevel"/>
    <w:tmpl w:val="FE2C9458"/>
    <w:lvl w:ilvl="0">
      <w:start w:val="1"/>
      <w:numFmt w:val="lowerRoman"/>
      <w:lvlText w:val="%1."/>
      <w:lvlJc w:val="right"/>
      <w:pPr>
        <w:tabs>
          <w:tab w:val="num" w:pos="810"/>
        </w:tabs>
        <w:ind w:left="810" w:hanging="360"/>
      </w:pPr>
    </w:lvl>
    <w:lvl w:ilvl="1" w:tentative="1">
      <w:start w:val="1"/>
      <w:numFmt w:val="lowerRoman"/>
      <w:lvlText w:val="%2."/>
      <w:lvlJc w:val="right"/>
      <w:pPr>
        <w:tabs>
          <w:tab w:val="num" w:pos="1530"/>
        </w:tabs>
        <w:ind w:left="1530" w:hanging="360"/>
      </w:pPr>
    </w:lvl>
    <w:lvl w:ilvl="2" w:tentative="1">
      <w:start w:val="1"/>
      <w:numFmt w:val="lowerRoman"/>
      <w:lvlText w:val="%3."/>
      <w:lvlJc w:val="right"/>
      <w:pPr>
        <w:tabs>
          <w:tab w:val="num" w:pos="2250"/>
        </w:tabs>
        <w:ind w:left="2250" w:hanging="360"/>
      </w:pPr>
    </w:lvl>
    <w:lvl w:ilvl="3" w:tentative="1">
      <w:start w:val="1"/>
      <w:numFmt w:val="lowerRoman"/>
      <w:lvlText w:val="%4."/>
      <w:lvlJc w:val="right"/>
      <w:pPr>
        <w:tabs>
          <w:tab w:val="num" w:pos="2970"/>
        </w:tabs>
        <w:ind w:left="2970" w:hanging="360"/>
      </w:pPr>
    </w:lvl>
    <w:lvl w:ilvl="4" w:tentative="1">
      <w:start w:val="1"/>
      <w:numFmt w:val="lowerRoman"/>
      <w:lvlText w:val="%5."/>
      <w:lvlJc w:val="right"/>
      <w:pPr>
        <w:tabs>
          <w:tab w:val="num" w:pos="3690"/>
        </w:tabs>
        <w:ind w:left="3690" w:hanging="360"/>
      </w:pPr>
    </w:lvl>
    <w:lvl w:ilvl="5" w:tentative="1">
      <w:start w:val="1"/>
      <w:numFmt w:val="lowerRoman"/>
      <w:lvlText w:val="%6."/>
      <w:lvlJc w:val="right"/>
      <w:pPr>
        <w:tabs>
          <w:tab w:val="num" w:pos="4410"/>
        </w:tabs>
        <w:ind w:left="4410" w:hanging="360"/>
      </w:pPr>
    </w:lvl>
    <w:lvl w:ilvl="6" w:tentative="1">
      <w:start w:val="1"/>
      <w:numFmt w:val="lowerRoman"/>
      <w:lvlText w:val="%7."/>
      <w:lvlJc w:val="right"/>
      <w:pPr>
        <w:tabs>
          <w:tab w:val="num" w:pos="5130"/>
        </w:tabs>
        <w:ind w:left="5130" w:hanging="360"/>
      </w:pPr>
    </w:lvl>
    <w:lvl w:ilvl="7" w:tentative="1">
      <w:start w:val="1"/>
      <w:numFmt w:val="lowerRoman"/>
      <w:lvlText w:val="%8."/>
      <w:lvlJc w:val="right"/>
      <w:pPr>
        <w:tabs>
          <w:tab w:val="num" w:pos="5850"/>
        </w:tabs>
        <w:ind w:left="5850" w:hanging="360"/>
      </w:pPr>
    </w:lvl>
    <w:lvl w:ilvl="8" w:tentative="1">
      <w:start w:val="1"/>
      <w:numFmt w:val="lowerRoman"/>
      <w:lvlText w:val="%9."/>
      <w:lvlJc w:val="right"/>
      <w:pPr>
        <w:tabs>
          <w:tab w:val="num" w:pos="6570"/>
        </w:tabs>
        <w:ind w:left="6570" w:hanging="360"/>
      </w:pPr>
    </w:lvl>
  </w:abstractNum>
  <w:abstractNum w:abstractNumId="121" w15:restartNumberingAfterBreak="0">
    <w:nsid w:val="3528742B"/>
    <w:multiLevelType w:val="multilevel"/>
    <w:tmpl w:val="E006D2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52D4DBB"/>
    <w:multiLevelType w:val="multilevel"/>
    <w:tmpl w:val="717C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5BF0E43"/>
    <w:multiLevelType w:val="multilevel"/>
    <w:tmpl w:val="8C4CE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72F39A6"/>
    <w:multiLevelType w:val="multilevel"/>
    <w:tmpl w:val="9EFEF26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5" w15:restartNumberingAfterBreak="0">
    <w:nsid w:val="383F0F7D"/>
    <w:multiLevelType w:val="multilevel"/>
    <w:tmpl w:val="E312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8606870"/>
    <w:multiLevelType w:val="multilevel"/>
    <w:tmpl w:val="BC849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9B502BD"/>
    <w:multiLevelType w:val="multilevel"/>
    <w:tmpl w:val="64A8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A522013"/>
    <w:multiLevelType w:val="multilevel"/>
    <w:tmpl w:val="6B08946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9" w15:restartNumberingAfterBreak="0">
    <w:nsid w:val="3A8703F4"/>
    <w:multiLevelType w:val="multilevel"/>
    <w:tmpl w:val="C9D8FB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AA17273"/>
    <w:multiLevelType w:val="multilevel"/>
    <w:tmpl w:val="0038C76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1" w15:restartNumberingAfterBreak="0">
    <w:nsid w:val="3ABE5A85"/>
    <w:multiLevelType w:val="multilevel"/>
    <w:tmpl w:val="D17627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AE22296"/>
    <w:multiLevelType w:val="multilevel"/>
    <w:tmpl w:val="16F046F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3B1F554B"/>
    <w:multiLevelType w:val="multilevel"/>
    <w:tmpl w:val="AB36B86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3B654E4C"/>
    <w:multiLevelType w:val="multilevel"/>
    <w:tmpl w:val="F66639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CC16964"/>
    <w:multiLevelType w:val="multilevel"/>
    <w:tmpl w:val="B9FA53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E101E67"/>
    <w:multiLevelType w:val="multilevel"/>
    <w:tmpl w:val="1AE41C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15:restartNumberingAfterBreak="0">
    <w:nsid w:val="3E38217E"/>
    <w:multiLevelType w:val="multilevel"/>
    <w:tmpl w:val="3518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3E452B3D"/>
    <w:multiLevelType w:val="multilevel"/>
    <w:tmpl w:val="E592CB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EB441AD"/>
    <w:multiLevelType w:val="multilevel"/>
    <w:tmpl w:val="8432E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EBE34CC"/>
    <w:multiLevelType w:val="multilevel"/>
    <w:tmpl w:val="70F4A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F3C27A0"/>
    <w:multiLevelType w:val="multilevel"/>
    <w:tmpl w:val="D4F40C5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2" w15:restartNumberingAfterBreak="0">
    <w:nsid w:val="3F6668D2"/>
    <w:multiLevelType w:val="multilevel"/>
    <w:tmpl w:val="308238D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3" w15:restartNumberingAfterBreak="0">
    <w:nsid w:val="3FA3153A"/>
    <w:multiLevelType w:val="multilevel"/>
    <w:tmpl w:val="EF4A92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FCC2BFC"/>
    <w:multiLevelType w:val="multilevel"/>
    <w:tmpl w:val="46464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013683E"/>
    <w:multiLevelType w:val="multilevel"/>
    <w:tmpl w:val="AA783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13C5159"/>
    <w:multiLevelType w:val="multilevel"/>
    <w:tmpl w:val="3698D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1CE3D6E"/>
    <w:multiLevelType w:val="multilevel"/>
    <w:tmpl w:val="C5F84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20C01F2"/>
    <w:multiLevelType w:val="multilevel"/>
    <w:tmpl w:val="AA504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310749D"/>
    <w:multiLevelType w:val="multilevel"/>
    <w:tmpl w:val="1B9471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33C1EB4"/>
    <w:multiLevelType w:val="multilevel"/>
    <w:tmpl w:val="2FFEAD5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1" w15:restartNumberingAfterBreak="0">
    <w:nsid w:val="436254C9"/>
    <w:multiLevelType w:val="multilevel"/>
    <w:tmpl w:val="CDF248D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2" w15:restartNumberingAfterBreak="0">
    <w:nsid w:val="437B08EA"/>
    <w:multiLevelType w:val="multilevel"/>
    <w:tmpl w:val="68AAA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4AA00BF"/>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44C04946"/>
    <w:multiLevelType w:val="multilevel"/>
    <w:tmpl w:val="899A5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5052390"/>
    <w:multiLevelType w:val="multilevel"/>
    <w:tmpl w:val="1B1EB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52A1F60"/>
    <w:multiLevelType w:val="multilevel"/>
    <w:tmpl w:val="AFA6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5313A0C"/>
    <w:multiLevelType w:val="multilevel"/>
    <w:tmpl w:val="5DAC1B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5494432"/>
    <w:multiLevelType w:val="multilevel"/>
    <w:tmpl w:val="EBD270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6A623BF"/>
    <w:multiLevelType w:val="hybridMultilevel"/>
    <w:tmpl w:val="432EB3A6"/>
    <w:lvl w:ilvl="0" w:tplc="0809000B">
      <w:start w:val="1"/>
      <w:numFmt w:val="bullet"/>
      <w:lvlText w:val=""/>
      <w:lvlJc w:val="left"/>
      <w:pPr>
        <w:ind w:left="1026" w:hanging="360"/>
      </w:pPr>
      <w:rPr>
        <w:rFonts w:ascii="Wingdings" w:hAnsi="Wingdings"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60" w15:restartNumberingAfterBreak="0">
    <w:nsid w:val="475D7493"/>
    <w:multiLevelType w:val="multilevel"/>
    <w:tmpl w:val="F6F267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83D0949"/>
    <w:multiLevelType w:val="multilevel"/>
    <w:tmpl w:val="C2D617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4F527B"/>
    <w:multiLevelType w:val="multilevel"/>
    <w:tmpl w:val="E83857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15:restartNumberingAfterBreak="0">
    <w:nsid w:val="48A05D1A"/>
    <w:multiLevelType w:val="multilevel"/>
    <w:tmpl w:val="F9FE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8D30035"/>
    <w:multiLevelType w:val="multilevel"/>
    <w:tmpl w:val="2834A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8F9384B"/>
    <w:multiLevelType w:val="multilevel"/>
    <w:tmpl w:val="B1467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0B6C57"/>
    <w:multiLevelType w:val="multilevel"/>
    <w:tmpl w:val="21F8B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94D4115"/>
    <w:multiLevelType w:val="multilevel"/>
    <w:tmpl w:val="0B02969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8" w15:restartNumberingAfterBreak="0">
    <w:nsid w:val="498068D1"/>
    <w:multiLevelType w:val="multilevel"/>
    <w:tmpl w:val="C0B8C7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9EA555F"/>
    <w:multiLevelType w:val="multilevel"/>
    <w:tmpl w:val="BD9A42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A3D54E0"/>
    <w:multiLevelType w:val="multilevel"/>
    <w:tmpl w:val="A028C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B430BE5"/>
    <w:multiLevelType w:val="hybridMultilevel"/>
    <w:tmpl w:val="1AEAE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4C8B3674"/>
    <w:multiLevelType w:val="multilevel"/>
    <w:tmpl w:val="5C00F35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3" w15:restartNumberingAfterBreak="0">
    <w:nsid w:val="4CFA5F8C"/>
    <w:multiLevelType w:val="multilevel"/>
    <w:tmpl w:val="82FE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D04583C"/>
    <w:multiLevelType w:val="multilevel"/>
    <w:tmpl w:val="60783A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D78B86A"/>
    <w:multiLevelType w:val="hybridMultilevel"/>
    <w:tmpl w:val="F692D516"/>
    <w:lvl w:ilvl="0" w:tplc="4BF669EA">
      <w:start w:val="1"/>
      <w:numFmt w:val="bullet"/>
      <w:lvlText w:val=""/>
      <w:lvlJc w:val="left"/>
      <w:pPr>
        <w:ind w:left="720" w:hanging="360"/>
      </w:pPr>
      <w:rPr>
        <w:rFonts w:ascii="Symbol" w:hAnsi="Symbol" w:hint="default"/>
      </w:rPr>
    </w:lvl>
    <w:lvl w:ilvl="1" w:tplc="96525076">
      <w:start w:val="1"/>
      <w:numFmt w:val="bullet"/>
      <w:lvlText w:val="o"/>
      <w:lvlJc w:val="left"/>
      <w:pPr>
        <w:ind w:left="1440" w:hanging="360"/>
      </w:pPr>
      <w:rPr>
        <w:rFonts w:ascii="Courier New" w:hAnsi="Courier New" w:hint="default"/>
      </w:rPr>
    </w:lvl>
    <w:lvl w:ilvl="2" w:tplc="17B2708E">
      <w:start w:val="1"/>
      <w:numFmt w:val="bullet"/>
      <w:lvlText w:val=""/>
      <w:lvlJc w:val="left"/>
      <w:pPr>
        <w:ind w:left="2160" w:hanging="360"/>
      </w:pPr>
      <w:rPr>
        <w:rFonts w:ascii="Wingdings" w:hAnsi="Wingdings" w:hint="default"/>
      </w:rPr>
    </w:lvl>
    <w:lvl w:ilvl="3" w:tplc="9AB4751A">
      <w:start w:val="1"/>
      <w:numFmt w:val="bullet"/>
      <w:lvlText w:val=""/>
      <w:lvlJc w:val="left"/>
      <w:pPr>
        <w:ind w:left="2880" w:hanging="360"/>
      </w:pPr>
      <w:rPr>
        <w:rFonts w:ascii="Symbol" w:hAnsi="Symbol" w:hint="default"/>
      </w:rPr>
    </w:lvl>
    <w:lvl w:ilvl="4" w:tplc="E4E85542">
      <w:start w:val="1"/>
      <w:numFmt w:val="bullet"/>
      <w:lvlText w:val="o"/>
      <w:lvlJc w:val="left"/>
      <w:pPr>
        <w:ind w:left="3600" w:hanging="360"/>
      </w:pPr>
      <w:rPr>
        <w:rFonts w:ascii="Courier New" w:hAnsi="Courier New" w:hint="default"/>
      </w:rPr>
    </w:lvl>
    <w:lvl w:ilvl="5" w:tplc="40E61A82">
      <w:start w:val="1"/>
      <w:numFmt w:val="bullet"/>
      <w:lvlText w:val=""/>
      <w:lvlJc w:val="left"/>
      <w:pPr>
        <w:ind w:left="4320" w:hanging="360"/>
      </w:pPr>
      <w:rPr>
        <w:rFonts w:ascii="Wingdings" w:hAnsi="Wingdings" w:hint="default"/>
      </w:rPr>
    </w:lvl>
    <w:lvl w:ilvl="6" w:tplc="40C40622">
      <w:start w:val="1"/>
      <w:numFmt w:val="bullet"/>
      <w:lvlText w:val=""/>
      <w:lvlJc w:val="left"/>
      <w:pPr>
        <w:ind w:left="5040" w:hanging="360"/>
      </w:pPr>
      <w:rPr>
        <w:rFonts w:ascii="Symbol" w:hAnsi="Symbol" w:hint="default"/>
      </w:rPr>
    </w:lvl>
    <w:lvl w:ilvl="7" w:tplc="B33A50BE">
      <w:start w:val="1"/>
      <w:numFmt w:val="bullet"/>
      <w:lvlText w:val="o"/>
      <w:lvlJc w:val="left"/>
      <w:pPr>
        <w:ind w:left="5760" w:hanging="360"/>
      </w:pPr>
      <w:rPr>
        <w:rFonts w:ascii="Courier New" w:hAnsi="Courier New" w:hint="default"/>
      </w:rPr>
    </w:lvl>
    <w:lvl w:ilvl="8" w:tplc="076ABC0C">
      <w:start w:val="1"/>
      <w:numFmt w:val="bullet"/>
      <w:lvlText w:val=""/>
      <w:lvlJc w:val="left"/>
      <w:pPr>
        <w:ind w:left="6480" w:hanging="360"/>
      </w:pPr>
      <w:rPr>
        <w:rFonts w:ascii="Wingdings" w:hAnsi="Wingdings" w:hint="default"/>
      </w:rPr>
    </w:lvl>
  </w:abstractNum>
  <w:abstractNum w:abstractNumId="176" w15:restartNumberingAfterBreak="0">
    <w:nsid w:val="4E083E91"/>
    <w:multiLevelType w:val="hybridMultilevel"/>
    <w:tmpl w:val="08ECC2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4E222A54"/>
    <w:multiLevelType w:val="multilevel"/>
    <w:tmpl w:val="3B7C646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4EB25712"/>
    <w:multiLevelType w:val="multilevel"/>
    <w:tmpl w:val="2568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EC92823"/>
    <w:multiLevelType w:val="multilevel"/>
    <w:tmpl w:val="EEACEF16"/>
    <w:name w:val="Annex"/>
    <w:lvl w:ilvl="0">
      <w:start w:val="1"/>
      <w:numFmt w:val="decimal"/>
      <w:isLgl/>
      <w:lvlText w:val="%1"/>
      <w:lvlJc w:val="left"/>
      <w:pPr>
        <w:ind w:left="380" w:hanging="380"/>
      </w:pPr>
      <w:rPr>
        <w:rFonts w:hint="default"/>
      </w:rPr>
    </w:lvl>
    <w:lvl w:ilvl="1">
      <w:start w:val="1"/>
      <w:numFmt w:val="decimal"/>
      <w:lvlText w:val="%1.%2"/>
      <w:lvlJc w:val="left"/>
      <w:pPr>
        <w:ind w:left="461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0" w15:restartNumberingAfterBreak="0">
    <w:nsid w:val="4F47160A"/>
    <w:multiLevelType w:val="multilevel"/>
    <w:tmpl w:val="724E7C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04A6A8D"/>
    <w:multiLevelType w:val="multilevel"/>
    <w:tmpl w:val="C7E2D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09B13D2"/>
    <w:multiLevelType w:val="multilevel"/>
    <w:tmpl w:val="920E8B10"/>
    <w:lvl w:ilvl="0">
      <w:start w:val="1"/>
      <w:numFmt w:val="decimal"/>
      <w:pStyle w:val="EITUMHeading1"/>
      <w:lvlText w:val="%1."/>
      <w:lvlJc w:val="left"/>
      <w:pPr>
        <w:ind w:left="720" w:hanging="360"/>
      </w:pPr>
    </w:lvl>
    <w:lvl w:ilvl="1">
      <w:start w:val="3"/>
      <w:numFmt w:val="decimal"/>
      <w:isLgl/>
      <w:lvlText w:val="%1.%2"/>
      <w:lvlJc w:val="left"/>
      <w:pPr>
        <w:ind w:left="1005" w:hanging="645"/>
      </w:pPr>
      <w:rPr>
        <w:rFonts w:hint="default"/>
      </w:rPr>
    </w:lvl>
    <w:lvl w:ilvl="2">
      <w:start w:val="1"/>
      <w:numFmt w:val="decimal"/>
      <w:pStyle w:val="heading3numgreen"/>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3" w15:restartNumberingAfterBreak="0">
    <w:nsid w:val="509E1334"/>
    <w:multiLevelType w:val="multilevel"/>
    <w:tmpl w:val="B276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11C7711"/>
    <w:multiLevelType w:val="multilevel"/>
    <w:tmpl w:val="1DC0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1601959"/>
    <w:multiLevelType w:val="multilevel"/>
    <w:tmpl w:val="35BA7A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24039CD"/>
    <w:multiLevelType w:val="multilevel"/>
    <w:tmpl w:val="5BF40D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2F37DFD"/>
    <w:multiLevelType w:val="multilevel"/>
    <w:tmpl w:val="51CE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34264B1"/>
    <w:multiLevelType w:val="multilevel"/>
    <w:tmpl w:val="685854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34E2250"/>
    <w:multiLevelType w:val="multilevel"/>
    <w:tmpl w:val="0A720B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35A77CA"/>
    <w:multiLevelType w:val="hybridMultilevel"/>
    <w:tmpl w:val="9A9E3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535B0EE7"/>
    <w:multiLevelType w:val="multilevel"/>
    <w:tmpl w:val="CF64C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3A700C7"/>
    <w:multiLevelType w:val="multilevel"/>
    <w:tmpl w:val="0588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3B342E5"/>
    <w:multiLevelType w:val="multilevel"/>
    <w:tmpl w:val="386A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3DB4498"/>
    <w:multiLevelType w:val="hybridMultilevel"/>
    <w:tmpl w:val="8E0603E0"/>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95" w15:restartNumberingAfterBreak="0">
    <w:nsid w:val="54A33C33"/>
    <w:multiLevelType w:val="multilevel"/>
    <w:tmpl w:val="6E02C3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1184D8"/>
    <w:multiLevelType w:val="hybridMultilevel"/>
    <w:tmpl w:val="F182B1A4"/>
    <w:lvl w:ilvl="0" w:tplc="4C781784">
      <w:start w:val="1"/>
      <w:numFmt w:val="bullet"/>
      <w:lvlText w:val=""/>
      <w:lvlJc w:val="left"/>
      <w:pPr>
        <w:ind w:left="1080" w:hanging="360"/>
      </w:pPr>
      <w:rPr>
        <w:rFonts w:ascii="Symbol" w:hAnsi="Symbol" w:hint="default"/>
      </w:rPr>
    </w:lvl>
    <w:lvl w:ilvl="1" w:tplc="6A4668FC">
      <w:start w:val="1"/>
      <w:numFmt w:val="bullet"/>
      <w:lvlText w:val="o"/>
      <w:lvlJc w:val="left"/>
      <w:pPr>
        <w:ind w:left="1800" w:hanging="360"/>
      </w:pPr>
      <w:rPr>
        <w:rFonts w:ascii="Courier New" w:hAnsi="Courier New" w:hint="default"/>
      </w:rPr>
    </w:lvl>
    <w:lvl w:ilvl="2" w:tplc="03C053BA">
      <w:start w:val="1"/>
      <w:numFmt w:val="bullet"/>
      <w:lvlText w:val=""/>
      <w:lvlJc w:val="left"/>
      <w:pPr>
        <w:ind w:left="2520" w:hanging="360"/>
      </w:pPr>
      <w:rPr>
        <w:rFonts w:ascii="Wingdings" w:hAnsi="Wingdings" w:hint="default"/>
      </w:rPr>
    </w:lvl>
    <w:lvl w:ilvl="3" w:tplc="76C00174">
      <w:start w:val="1"/>
      <w:numFmt w:val="bullet"/>
      <w:lvlText w:val=""/>
      <w:lvlJc w:val="left"/>
      <w:pPr>
        <w:ind w:left="3240" w:hanging="360"/>
      </w:pPr>
      <w:rPr>
        <w:rFonts w:ascii="Symbol" w:hAnsi="Symbol" w:hint="default"/>
      </w:rPr>
    </w:lvl>
    <w:lvl w:ilvl="4" w:tplc="2FC03366">
      <w:start w:val="1"/>
      <w:numFmt w:val="bullet"/>
      <w:lvlText w:val="o"/>
      <w:lvlJc w:val="left"/>
      <w:pPr>
        <w:ind w:left="3960" w:hanging="360"/>
      </w:pPr>
      <w:rPr>
        <w:rFonts w:ascii="Courier New" w:hAnsi="Courier New" w:hint="default"/>
      </w:rPr>
    </w:lvl>
    <w:lvl w:ilvl="5" w:tplc="3AD8BB02">
      <w:start w:val="1"/>
      <w:numFmt w:val="bullet"/>
      <w:lvlText w:val=""/>
      <w:lvlJc w:val="left"/>
      <w:pPr>
        <w:ind w:left="4680" w:hanging="360"/>
      </w:pPr>
      <w:rPr>
        <w:rFonts w:ascii="Wingdings" w:hAnsi="Wingdings" w:hint="default"/>
      </w:rPr>
    </w:lvl>
    <w:lvl w:ilvl="6" w:tplc="BCDCEFAC">
      <w:start w:val="1"/>
      <w:numFmt w:val="bullet"/>
      <w:lvlText w:val=""/>
      <w:lvlJc w:val="left"/>
      <w:pPr>
        <w:ind w:left="5400" w:hanging="360"/>
      </w:pPr>
      <w:rPr>
        <w:rFonts w:ascii="Symbol" w:hAnsi="Symbol" w:hint="default"/>
      </w:rPr>
    </w:lvl>
    <w:lvl w:ilvl="7" w:tplc="519647C8">
      <w:start w:val="1"/>
      <w:numFmt w:val="bullet"/>
      <w:lvlText w:val="o"/>
      <w:lvlJc w:val="left"/>
      <w:pPr>
        <w:ind w:left="6120" w:hanging="360"/>
      </w:pPr>
      <w:rPr>
        <w:rFonts w:ascii="Courier New" w:hAnsi="Courier New" w:hint="default"/>
      </w:rPr>
    </w:lvl>
    <w:lvl w:ilvl="8" w:tplc="3B1E7214">
      <w:start w:val="1"/>
      <w:numFmt w:val="bullet"/>
      <w:lvlText w:val=""/>
      <w:lvlJc w:val="left"/>
      <w:pPr>
        <w:ind w:left="6840" w:hanging="360"/>
      </w:pPr>
      <w:rPr>
        <w:rFonts w:ascii="Wingdings" w:hAnsi="Wingdings" w:hint="default"/>
      </w:rPr>
    </w:lvl>
  </w:abstractNum>
  <w:abstractNum w:abstractNumId="197" w15:restartNumberingAfterBreak="0">
    <w:nsid w:val="55C06E76"/>
    <w:multiLevelType w:val="multilevel"/>
    <w:tmpl w:val="EE04D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6972FFB"/>
    <w:multiLevelType w:val="multilevel"/>
    <w:tmpl w:val="C6D0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6CF1144"/>
    <w:multiLevelType w:val="multilevel"/>
    <w:tmpl w:val="1B02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6E44109"/>
    <w:multiLevelType w:val="multilevel"/>
    <w:tmpl w:val="58CAD0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7284F66"/>
    <w:multiLevelType w:val="multilevel"/>
    <w:tmpl w:val="816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76507CE"/>
    <w:multiLevelType w:val="multilevel"/>
    <w:tmpl w:val="234690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7F22CC9"/>
    <w:multiLevelType w:val="multilevel"/>
    <w:tmpl w:val="C486E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83530BF"/>
    <w:multiLevelType w:val="multilevel"/>
    <w:tmpl w:val="762A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8DE7650"/>
    <w:multiLevelType w:val="multilevel"/>
    <w:tmpl w:val="4F2E2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94C7246"/>
    <w:multiLevelType w:val="multilevel"/>
    <w:tmpl w:val="8C3A1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97A7295"/>
    <w:multiLevelType w:val="multilevel"/>
    <w:tmpl w:val="2814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5A0832D6"/>
    <w:multiLevelType w:val="multilevel"/>
    <w:tmpl w:val="E13070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A0F3A58"/>
    <w:multiLevelType w:val="hybridMultilevel"/>
    <w:tmpl w:val="F3464A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5A3039B2"/>
    <w:multiLevelType w:val="multilevel"/>
    <w:tmpl w:val="4E9639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15:restartNumberingAfterBreak="0">
    <w:nsid w:val="5AD85E10"/>
    <w:multiLevelType w:val="multilevel"/>
    <w:tmpl w:val="8CFAC5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2" w15:restartNumberingAfterBreak="0">
    <w:nsid w:val="5B2606C4"/>
    <w:multiLevelType w:val="multilevel"/>
    <w:tmpl w:val="94AC35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3" w15:restartNumberingAfterBreak="0">
    <w:nsid w:val="5C6B5BF5"/>
    <w:multiLevelType w:val="hybridMultilevel"/>
    <w:tmpl w:val="7B26FB98"/>
    <w:lvl w:ilvl="0" w:tplc="AE7C357A">
      <w:start w:val="1"/>
      <w:numFmt w:val="bullet"/>
      <w:lvlText w:val=""/>
      <w:lvlJc w:val="left"/>
      <w:pPr>
        <w:ind w:left="720" w:hanging="360"/>
      </w:pPr>
      <w:rPr>
        <w:rFonts w:ascii="Symbol" w:hAnsi="Symbol" w:hint="default"/>
      </w:rPr>
    </w:lvl>
    <w:lvl w:ilvl="1" w:tplc="DC6A7738">
      <w:start w:val="1"/>
      <w:numFmt w:val="bullet"/>
      <w:lvlText w:val="o"/>
      <w:lvlJc w:val="left"/>
      <w:pPr>
        <w:ind w:left="1440" w:hanging="360"/>
      </w:pPr>
      <w:rPr>
        <w:rFonts w:ascii="Courier New" w:hAnsi="Courier New" w:hint="default"/>
      </w:rPr>
    </w:lvl>
    <w:lvl w:ilvl="2" w:tplc="0E4AAE66">
      <w:start w:val="1"/>
      <w:numFmt w:val="bullet"/>
      <w:lvlText w:val=""/>
      <w:lvlJc w:val="left"/>
      <w:pPr>
        <w:ind w:left="2160" w:hanging="360"/>
      </w:pPr>
      <w:rPr>
        <w:rFonts w:ascii="Wingdings" w:hAnsi="Wingdings" w:hint="default"/>
      </w:rPr>
    </w:lvl>
    <w:lvl w:ilvl="3" w:tplc="07943024">
      <w:start w:val="1"/>
      <w:numFmt w:val="bullet"/>
      <w:lvlText w:val=""/>
      <w:lvlJc w:val="left"/>
      <w:pPr>
        <w:ind w:left="2880" w:hanging="360"/>
      </w:pPr>
      <w:rPr>
        <w:rFonts w:ascii="Symbol" w:hAnsi="Symbol" w:hint="default"/>
      </w:rPr>
    </w:lvl>
    <w:lvl w:ilvl="4" w:tplc="62EEB9B2">
      <w:start w:val="1"/>
      <w:numFmt w:val="bullet"/>
      <w:lvlText w:val="o"/>
      <w:lvlJc w:val="left"/>
      <w:pPr>
        <w:ind w:left="3600" w:hanging="360"/>
      </w:pPr>
      <w:rPr>
        <w:rFonts w:ascii="Courier New" w:hAnsi="Courier New" w:hint="default"/>
      </w:rPr>
    </w:lvl>
    <w:lvl w:ilvl="5" w:tplc="562677B4">
      <w:start w:val="1"/>
      <w:numFmt w:val="bullet"/>
      <w:lvlText w:val=""/>
      <w:lvlJc w:val="left"/>
      <w:pPr>
        <w:ind w:left="4320" w:hanging="360"/>
      </w:pPr>
      <w:rPr>
        <w:rFonts w:ascii="Wingdings" w:hAnsi="Wingdings" w:hint="default"/>
      </w:rPr>
    </w:lvl>
    <w:lvl w:ilvl="6" w:tplc="D9BC9C3A">
      <w:start w:val="1"/>
      <w:numFmt w:val="bullet"/>
      <w:lvlText w:val=""/>
      <w:lvlJc w:val="left"/>
      <w:pPr>
        <w:ind w:left="5040" w:hanging="360"/>
      </w:pPr>
      <w:rPr>
        <w:rFonts w:ascii="Symbol" w:hAnsi="Symbol" w:hint="default"/>
      </w:rPr>
    </w:lvl>
    <w:lvl w:ilvl="7" w:tplc="FE5CC2B0">
      <w:start w:val="1"/>
      <w:numFmt w:val="bullet"/>
      <w:lvlText w:val="o"/>
      <w:lvlJc w:val="left"/>
      <w:pPr>
        <w:ind w:left="5760" w:hanging="360"/>
      </w:pPr>
      <w:rPr>
        <w:rFonts w:ascii="Courier New" w:hAnsi="Courier New" w:hint="default"/>
      </w:rPr>
    </w:lvl>
    <w:lvl w:ilvl="8" w:tplc="679A0942">
      <w:start w:val="1"/>
      <w:numFmt w:val="bullet"/>
      <w:lvlText w:val=""/>
      <w:lvlJc w:val="left"/>
      <w:pPr>
        <w:ind w:left="6480" w:hanging="360"/>
      </w:pPr>
      <w:rPr>
        <w:rFonts w:ascii="Wingdings" w:hAnsi="Wingdings" w:hint="default"/>
      </w:rPr>
    </w:lvl>
  </w:abstractNum>
  <w:abstractNum w:abstractNumId="214" w15:restartNumberingAfterBreak="0">
    <w:nsid w:val="5D911045"/>
    <w:multiLevelType w:val="hybridMultilevel"/>
    <w:tmpl w:val="C980CBE4"/>
    <w:lvl w:ilvl="0" w:tplc="615C5ABC">
      <w:start w:val="1"/>
      <w:numFmt w:val="bullet"/>
      <w:lvlText w:val=""/>
      <w:lvlJc w:val="left"/>
      <w:pPr>
        <w:ind w:left="720" w:hanging="360"/>
      </w:pPr>
      <w:rPr>
        <w:rFonts w:ascii="Symbol" w:hAnsi="Symbol" w:hint="default"/>
      </w:rPr>
    </w:lvl>
    <w:lvl w:ilvl="1" w:tplc="7BC47360">
      <w:start w:val="1"/>
      <w:numFmt w:val="bullet"/>
      <w:lvlText w:val="o"/>
      <w:lvlJc w:val="left"/>
      <w:pPr>
        <w:ind w:left="1440" w:hanging="360"/>
      </w:pPr>
      <w:rPr>
        <w:rFonts w:ascii="Courier New" w:hAnsi="Courier New" w:hint="default"/>
      </w:rPr>
    </w:lvl>
    <w:lvl w:ilvl="2" w:tplc="C28CE64E">
      <w:start w:val="1"/>
      <w:numFmt w:val="bullet"/>
      <w:lvlText w:val=""/>
      <w:lvlJc w:val="left"/>
      <w:pPr>
        <w:ind w:left="2160" w:hanging="360"/>
      </w:pPr>
      <w:rPr>
        <w:rFonts w:ascii="Wingdings" w:hAnsi="Wingdings" w:hint="default"/>
      </w:rPr>
    </w:lvl>
    <w:lvl w:ilvl="3" w:tplc="E908872E">
      <w:start w:val="1"/>
      <w:numFmt w:val="bullet"/>
      <w:lvlText w:val=""/>
      <w:lvlJc w:val="left"/>
      <w:pPr>
        <w:ind w:left="2880" w:hanging="360"/>
      </w:pPr>
      <w:rPr>
        <w:rFonts w:ascii="Symbol" w:hAnsi="Symbol" w:hint="default"/>
      </w:rPr>
    </w:lvl>
    <w:lvl w:ilvl="4" w:tplc="73224A1C">
      <w:start w:val="1"/>
      <w:numFmt w:val="bullet"/>
      <w:lvlText w:val="o"/>
      <w:lvlJc w:val="left"/>
      <w:pPr>
        <w:ind w:left="3600" w:hanging="360"/>
      </w:pPr>
      <w:rPr>
        <w:rFonts w:ascii="Courier New" w:hAnsi="Courier New" w:hint="default"/>
      </w:rPr>
    </w:lvl>
    <w:lvl w:ilvl="5" w:tplc="8402D53A">
      <w:start w:val="1"/>
      <w:numFmt w:val="bullet"/>
      <w:lvlText w:val=""/>
      <w:lvlJc w:val="left"/>
      <w:pPr>
        <w:ind w:left="4320" w:hanging="360"/>
      </w:pPr>
      <w:rPr>
        <w:rFonts w:ascii="Wingdings" w:hAnsi="Wingdings" w:hint="default"/>
      </w:rPr>
    </w:lvl>
    <w:lvl w:ilvl="6" w:tplc="C582B2DC">
      <w:start w:val="1"/>
      <w:numFmt w:val="bullet"/>
      <w:lvlText w:val=""/>
      <w:lvlJc w:val="left"/>
      <w:pPr>
        <w:ind w:left="5040" w:hanging="360"/>
      </w:pPr>
      <w:rPr>
        <w:rFonts w:ascii="Symbol" w:hAnsi="Symbol" w:hint="default"/>
      </w:rPr>
    </w:lvl>
    <w:lvl w:ilvl="7" w:tplc="2006D98E">
      <w:start w:val="1"/>
      <w:numFmt w:val="bullet"/>
      <w:lvlText w:val="o"/>
      <w:lvlJc w:val="left"/>
      <w:pPr>
        <w:ind w:left="5760" w:hanging="360"/>
      </w:pPr>
      <w:rPr>
        <w:rFonts w:ascii="Courier New" w:hAnsi="Courier New" w:hint="default"/>
      </w:rPr>
    </w:lvl>
    <w:lvl w:ilvl="8" w:tplc="9A24DFB8">
      <w:start w:val="1"/>
      <w:numFmt w:val="bullet"/>
      <w:lvlText w:val=""/>
      <w:lvlJc w:val="left"/>
      <w:pPr>
        <w:ind w:left="6480" w:hanging="360"/>
      </w:pPr>
      <w:rPr>
        <w:rFonts w:ascii="Wingdings" w:hAnsi="Wingdings" w:hint="default"/>
      </w:rPr>
    </w:lvl>
  </w:abstractNum>
  <w:abstractNum w:abstractNumId="215" w15:restartNumberingAfterBreak="0">
    <w:nsid w:val="5DB537CE"/>
    <w:multiLevelType w:val="multilevel"/>
    <w:tmpl w:val="2456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E50DED8"/>
    <w:multiLevelType w:val="hybridMultilevel"/>
    <w:tmpl w:val="B7862316"/>
    <w:lvl w:ilvl="0" w:tplc="6980B69E">
      <w:start w:val="1"/>
      <w:numFmt w:val="bullet"/>
      <w:lvlText w:val=""/>
      <w:lvlJc w:val="left"/>
      <w:pPr>
        <w:ind w:left="720" w:hanging="360"/>
      </w:pPr>
      <w:rPr>
        <w:rFonts w:ascii="Symbol" w:hAnsi="Symbol" w:hint="default"/>
      </w:rPr>
    </w:lvl>
    <w:lvl w:ilvl="1" w:tplc="5498C8F0">
      <w:start w:val="1"/>
      <w:numFmt w:val="bullet"/>
      <w:lvlText w:val="o"/>
      <w:lvlJc w:val="left"/>
      <w:pPr>
        <w:ind w:left="1440" w:hanging="360"/>
      </w:pPr>
      <w:rPr>
        <w:rFonts w:ascii="Courier New" w:hAnsi="Courier New" w:hint="default"/>
      </w:rPr>
    </w:lvl>
    <w:lvl w:ilvl="2" w:tplc="13DC1F18">
      <w:start w:val="1"/>
      <w:numFmt w:val="bullet"/>
      <w:lvlText w:val=""/>
      <w:lvlJc w:val="left"/>
      <w:pPr>
        <w:ind w:left="2160" w:hanging="360"/>
      </w:pPr>
      <w:rPr>
        <w:rFonts w:ascii="Wingdings" w:hAnsi="Wingdings" w:hint="default"/>
      </w:rPr>
    </w:lvl>
    <w:lvl w:ilvl="3" w:tplc="1C8C7E9A">
      <w:start w:val="1"/>
      <w:numFmt w:val="bullet"/>
      <w:lvlText w:val=""/>
      <w:lvlJc w:val="left"/>
      <w:pPr>
        <w:ind w:left="2880" w:hanging="360"/>
      </w:pPr>
      <w:rPr>
        <w:rFonts w:ascii="Symbol" w:hAnsi="Symbol" w:hint="default"/>
      </w:rPr>
    </w:lvl>
    <w:lvl w:ilvl="4" w:tplc="61B4CD8A">
      <w:start w:val="1"/>
      <w:numFmt w:val="bullet"/>
      <w:lvlText w:val="o"/>
      <w:lvlJc w:val="left"/>
      <w:pPr>
        <w:ind w:left="3600" w:hanging="360"/>
      </w:pPr>
      <w:rPr>
        <w:rFonts w:ascii="Courier New" w:hAnsi="Courier New" w:hint="default"/>
      </w:rPr>
    </w:lvl>
    <w:lvl w:ilvl="5" w:tplc="AFD4CCB6">
      <w:start w:val="1"/>
      <w:numFmt w:val="bullet"/>
      <w:lvlText w:val=""/>
      <w:lvlJc w:val="left"/>
      <w:pPr>
        <w:ind w:left="4320" w:hanging="360"/>
      </w:pPr>
      <w:rPr>
        <w:rFonts w:ascii="Wingdings" w:hAnsi="Wingdings" w:hint="default"/>
      </w:rPr>
    </w:lvl>
    <w:lvl w:ilvl="6" w:tplc="09EE4C54">
      <w:start w:val="1"/>
      <w:numFmt w:val="bullet"/>
      <w:lvlText w:val=""/>
      <w:lvlJc w:val="left"/>
      <w:pPr>
        <w:ind w:left="5040" w:hanging="360"/>
      </w:pPr>
      <w:rPr>
        <w:rFonts w:ascii="Symbol" w:hAnsi="Symbol" w:hint="default"/>
      </w:rPr>
    </w:lvl>
    <w:lvl w:ilvl="7" w:tplc="BF3855BC">
      <w:start w:val="1"/>
      <w:numFmt w:val="bullet"/>
      <w:lvlText w:val="o"/>
      <w:lvlJc w:val="left"/>
      <w:pPr>
        <w:ind w:left="5760" w:hanging="360"/>
      </w:pPr>
      <w:rPr>
        <w:rFonts w:ascii="Courier New" w:hAnsi="Courier New" w:hint="default"/>
      </w:rPr>
    </w:lvl>
    <w:lvl w:ilvl="8" w:tplc="8DB4BC5A">
      <w:start w:val="1"/>
      <w:numFmt w:val="bullet"/>
      <w:lvlText w:val=""/>
      <w:lvlJc w:val="left"/>
      <w:pPr>
        <w:ind w:left="6480" w:hanging="360"/>
      </w:pPr>
      <w:rPr>
        <w:rFonts w:ascii="Wingdings" w:hAnsi="Wingdings" w:hint="default"/>
      </w:rPr>
    </w:lvl>
  </w:abstractNum>
  <w:abstractNum w:abstractNumId="217" w15:restartNumberingAfterBreak="0">
    <w:nsid w:val="5E6EB623"/>
    <w:multiLevelType w:val="hybridMultilevel"/>
    <w:tmpl w:val="E842B9F2"/>
    <w:lvl w:ilvl="0" w:tplc="0A9A2828">
      <w:start w:val="1"/>
      <w:numFmt w:val="bullet"/>
      <w:lvlText w:val=""/>
      <w:lvlJc w:val="left"/>
      <w:pPr>
        <w:ind w:left="720" w:hanging="360"/>
      </w:pPr>
      <w:rPr>
        <w:rFonts w:ascii="Symbol" w:hAnsi="Symbol" w:hint="default"/>
      </w:rPr>
    </w:lvl>
    <w:lvl w:ilvl="1" w:tplc="DCA8D244">
      <w:start w:val="1"/>
      <w:numFmt w:val="bullet"/>
      <w:lvlText w:val="o"/>
      <w:lvlJc w:val="left"/>
      <w:pPr>
        <w:ind w:left="1440" w:hanging="360"/>
      </w:pPr>
      <w:rPr>
        <w:rFonts w:ascii="Courier New" w:hAnsi="Courier New" w:hint="default"/>
      </w:rPr>
    </w:lvl>
    <w:lvl w:ilvl="2" w:tplc="2856C534">
      <w:start w:val="1"/>
      <w:numFmt w:val="bullet"/>
      <w:lvlText w:val=""/>
      <w:lvlJc w:val="left"/>
      <w:pPr>
        <w:ind w:left="2160" w:hanging="360"/>
      </w:pPr>
      <w:rPr>
        <w:rFonts w:ascii="Wingdings" w:hAnsi="Wingdings" w:hint="default"/>
      </w:rPr>
    </w:lvl>
    <w:lvl w:ilvl="3" w:tplc="0B089D70">
      <w:start w:val="1"/>
      <w:numFmt w:val="bullet"/>
      <w:lvlText w:val=""/>
      <w:lvlJc w:val="left"/>
      <w:pPr>
        <w:ind w:left="2880" w:hanging="360"/>
      </w:pPr>
      <w:rPr>
        <w:rFonts w:ascii="Symbol" w:hAnsi="Symbol" w:hint="default"/>
      </w:rPr>
    </w:lvl>
    <w:lvl w:ilvl="4" w:tplc="465820AE">
      <w:start w:val="1"/>
      <w:numFmt w:val="bullet"/>
      <w:lvlText w:val="o"/>
      <w:lvlJc w:val="left"/>
      <w:pPr>
        <w:ind w:left="3600" w:hanging="360"/>
      </w:pPr>
      <w:rPr>
        <w:rFonts w:ascii="Courier New" w:hAnsi="Courier New" w:hint="default"/>
      </w:rPr>
    </w:lvl>
    <w:lvl w:ilvl="5" w:tplc="2A22C3D0">
      <w:start w:val="1"/>
      <w:numFmt w:val="bullet"/>
      <w:lvlText w:val=""/>
      <w:lvlJc w:val="left"/>
      <w:pPr>
        <w:ind w:left="4320" w:hanging="360"/>
      </w:pPr>
      <w:rPr>
        <w:rFonts w:ascii="Wingdings" w:hAnsi="Wingdings" w:hint="default"/>
      </w:rPr>
    </w:lvl>
    <w:lvl w:ilvl="6" w:tplc="B5449A3C">
      <w:start w:val="1"/>
      <w:numFmt w:val="bullet"/>
      <w:lvlText w:val=""/>
      <w:lvlJc w:val="left"/>
      <w:pPr>
        <w:ind w:left="5040" w:hanging="360"/>
      </w:pPr>
      <w:rPr>
        <w:rFonts w:ascii="Symbol" w:hAnsi="Symbol" w:hint="default"/>
      </w:rPr>
    </w:lvl>
    <w:lvl w:ilvl="7" w:tplc="56F20348">
      <w:start w:val="1"/>
      <w:numFmt w:val="bullet"/>
      <w:lvlText w:val="o"/>
      <w:lvlJc w:val="left"/>
      <w:pPr>
        <w:ind w:left="5760" w:hanging="360"/>
      </w:pPr>
      <w:rPr>
        <w:rFonts w:ascii="Courier New" w:hAnsi="Courier New" w:hint="default"/>
      </w:rPr>
    </w:lvl>
    <w:lvl w:ilvl="8" w:tplc="33BACB5A">
      <w:start w:val="1"/>
      <w:numFmt w:val="bullet"/>
      <w:lvlText w:val=""/>
      <w:lvlJc w:val="left"/>
      <w:pPr>
        <w:ind w:left="6480" w:hanging="360"/>
      </w:pPr>
      <w:rPr>
        <w:rFonts w:ascii="Wingdings" w:hAnsi="Wingdings" w:hint="default"/>
      </w:rPr>
    </w:lvl>
  </w:abstractNum>
  <w:abstractNum w:abstractNumId="218" w15:restartNumberingAfterBreak="0">
    <w:nsid w:val="60D47D9A"/>
    <w:multiLevelType w:val="multilevel"/>
    <w:tmpl w:val="8D4298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9" w15:restartNumberingAfterBreak="0">
    <w:nsid w:val="60F85CD7"/>
    <w:multiLevelType w:val="multilevel"/>
    <w:tmpl w:val="BEE4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17A5B1E"/>
    <w:multiLevelType w:val="multilevel"/>
    <w:tmpl w:val="90F4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1F23DEC"/>
    <w:multiLevelType w:val="multilevel"/>
    <w:tmpl w:val="8AF41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32528DB"/>
    <w:multiLevelType w:val="hybridMultilevel"/>
    <w:tmpl w:val="6776A93E"/>
    <w:lvl w:ilvl="0" w:tplc="2D8A672A">
      <w:start w:val="1"/>
      <w:numFmt w:val="bullet"/>
      <w:lvlText w:val=""/>
      <w:lvlJc w:val="left"/>
      <w:pPr>
        <w:ind w:left="720" w:hanging="360"/>
      </w:pPr>
      <w:rPr>
        <w:rFonts w:ascii="Symbol" w:hAnsi="Symbol" w:hint="default"/>
      </w:rPr>
    </w:lvl>
    <w:lvl w:ilvl="1" w:tplc="39AA9B16">
      <w:start w:val="1"/>
      <w:numFmt w:val="bullet"/>
      <w:lvlText w:val="o"/>
      <w:lvlJc w:val="left"/>
      <w:pPr>
        <w:ind w:left="1440" w:hanging="360"/>
      </w:pPr>
      <w:rPr>
        <w:rFonts w:ascii="Courier New" w:hAnsi="Courier New" w:hint="default"/>
      </w:rPr>
    </w:lvl>
    <w:lvl w:ilvl="2" w:tplc="4790D3E2">
      <w:start w:val="1"/>
      <w:numFmt w:val="bullet"/>
      <w:lvlText w:val=""/>
      <w:lvlJc w:val="left"/>
      <w:pPr>
        <w:ind w:left="2160" w:hanging="360"/>
      </w:pPr>
      <w:rPr>
        <w:rFonts w:ascii="Wingdings" w:hAnsi="Wingdings" w:hint="default"/>
      </w:rPr>
    </w:lvl>
    <w:lvl w:ilvl="3" w:tplc="FB9A0766">
      <w:start w:val="1"/>
      <w:numFmt w:val="bullet"/>
      <w:lvlText w:val=""/>
      <w:lvlJc w:val="left"/>
      <w:pPr>
        <w:ind w:left="2880" w:hanging="360"/>
      </w:pPr>
      <w:rPr>
        <w:rFonts w:ascii="Symbol" w:hAnsi="Symbol" w:hint="default"/>
      </w:rPr>
    </w:lvl>
    <w:lvl w:ilvl="4" w:tplc="295068D6">
      <w:start w:val="1"/>
      <w:numFmt w:val="bullet"/>
      <w:lvlText w:val="o"/>
      <w:lvlJc w:val="left"/>
      <w:pPr>
        <w:ind w:left="3600" w:hanging="360"/>
      </w:pPr>
      <w:rPr>
        <w:rFonts w:ascii="Courier New" w:hAnsi="Courier New" w:hint="default"/>
      </w:rPr>
    </w:lvl>
    <w:lvl w:ilvl="5" w:tplc="38685968">
      <w:start w:val="1"/>
      <w:numFmt w:val="bullet"/>
      <w:lvlText w:val=""/>
      <w:lvlJc w:val="left"/>
      <w:pPr>
        <w:ind w:left="4320" w:hanging="360"/>
      </w:pPr>
      <w:rPr>
        <w:rFonts w:ascii="Wingdings" w:hAnsi="Wingdings" w:hint="default"/>
      </w:rPr>
    </w:lvl>
    <w:lvl w:ilvl="6" w:tplc="5D921FB8">
      <w:start w:val="1"/>
      <w:numFmt w:val="bullet"/>
      <w:lvlText w:val=""/>
      <w:lvlJc w:val="left"/>
      <w:pPr>
        <w:ind w:left="5040" w:hanging="360"/>
      </w:pPr>
      <w:rPr>
        <w:rFonts w:ascii="Symbol" w:hAnsi="Symbol" w:hint="default"/>
      </w:rPr>
    </w:lvl>
    <w:lvl w:ilvl="7" w:tplc="17880B9E">
      <w:start w:val="1"/>
      <w:numFmt w:val="bullet"/>
      <w:lvlText w:val="o"/>
      <w:lvlJc w:val="left"/>
      <w:pPr>
        <w:ind w:left="5760" w:hanging="360"/>
      </w:pPr>
      <w:rPr>
        <w:rFonts w:ascii="Courier New" w:hAnsi="Courier New" w:hint="default"/>
      </w:rPr>
    </w:lvl>
    <w:lvl w:ilvl="8" w:tplc="1420942A">
      <w:start w:val="1"/>
      <w:numFmt w:val="bullet"/>
      <w:lvlText w:val=""/>
      <w:lvlJc w:val="left"/>
      <w:pPr>
        <w:ind w:left="6480" w:hanging="360"/>
      </w:pPr>
      <w:rPr>
        <w:rFonts w:ascii="Wingdings" w:hAnsi="Wingdings" w:hint="default"/>
      </w:rPr>
    </w:lvl>
  </w:abstractNum>
  <w:abstractNum w:abstractNumId="223" w15:restartNumberingAfterBreak="0">
    <w:nsid w:val="638F339F"/>
    <w:multiLevelType w:val="multilevel"/>
    <w:tmpl w:val="3188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414101D"/>
    <w:multiLevelType w:val="multilevel"/>
    <w:tmpl w:val="D22EC1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4AF5B26"/>
    <w:multiLevelType w:val="multilevel"/>
    <w:tmpl w:val="3AEAA6D0"/>
    <w:lvl w:ilvl="0">
      <w:start w:val="3"/>
      <w:numFmt w:val="lowerLetter"/>
      <w:lvlText w:val="%1."/>
      <w:lvlJc w:val="left"/>
      <w:pPr>
        <w:tabs>
          <w:tab w:val="num" w:pos="1020"/>
        </w:tabs>
        <w:ind w:left="1020" w:hanging="360"/>
      </w:pPr>
    </w:lvl>
    <w:lvl w:ilvl="1" w:tentative="1">
      <w:start w:val="1"/>
      <w:numFmt w:val="lowerLetter"/>
      <w:lvlText w:val="%2."/>
      <w:lvlJc w:val="left"/>
      <w:pPr>
        <w:tabs>
          <w:tab w:val="num" w:pos="1740"/>
        </w:tabs>
        <w:ind w:left="1740" w:hanging="360"/>
      </w:pPr>
    </w:lvl>
    <w:lvl w:ilvl="2" w:tentative="1">
      <w:start w:val="1"/>
      <w:numFmt w:val="lowerLetter"/>
      <w:lvlText w:val="%3."/>
      <w:lvlJc w:val="left"/>
      <w:pPr>
        <w:tabs>
          <w:tab w:val="num" w:pos="2460"/>
        </w:tabs>
        <w:ind w:left="2460" w:hanging="360"/>
      </w:pPr>
    </w:lvl>
    <w:lvl w:ilvl="3" w:tentative="1">
      <w:start w:val="1"/>
      <w:numFmt w:val="lowerLetter"/>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Letter"/>
      <w:lvlText w:val="%6."/>
      <w:lvlJc w:val="left"/>
      <w:pPr>
        <w:tabs>
          <w:tab w:val="num" w:pos="4620"/>
        </w:tabs>
        <w:ind w:left="4620" w:hanging="360"/>
      </w:pPr>
    </w:lvl>
    <w:lvl w:ilvl="6" w:tentative="1">
      <w:start w:val="1"/>
      <w:numFmt w:val="lowerLetter"/>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Letter"/>
      <w:lvlText w:val="%9."/>
      <w:lvlJc w:val="left"/>
      <w:pPr>
        <w:tabs>
          <w:tab w:val="num" w:pos="6780"/>
        </w:tabs>
        <w:ind w:left="6780" w:hanging="360"/>
      </w:pPr>
    </w:lvl>
  </w:abstractNum>
  <w:abstractNum w:abstractNumId="226" w15:restartNumberingAfterBreak="0">
    <w:nsid w:val="65BC286B"/>
    <w:multiLevelType w:val="multilevel"/>
    <w:tmpl w:val="7AEE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67614F6"/>
    <w:multiLevelType w:val="multilevel"/>
    <w:tmpl w:val="A12E10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6F464C3"/>
    <w:multiLevelType w:val="multilevel"/>
    <w:tmpl w:val="C784B9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6F75AC4"/>
    <w:multiLevelType w:val="hybridMultilevel"/>
    <w:tmpl w:val="BAFCC3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7881216"/>
    <w:multiLevelType w:val="multilevel"/>
    <w:tmpl w:val="FC04BAE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1" w15:restartNumberingAfterBreak="0">
    <w:nsid w:val="67D40E3E"/>
    <w:multiLevelType w:val="multilevel"/>
    <w:tmpl w:val="0096E6F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2" w15:restartNumberingAfterBreak="0">
    <w:nsid w:val="68DD3DE8"/>
    <w:multiLevelType w:val="multilevel"/>
    <w:tmpl w:val="57E2FA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8FC4973"/>
    <w:multiLevelType w:val="multilevel"/>
    <w:tmpl w:val="18CA448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4" w15:restartNumberingAfterBreak="0">
    <w:nsid w:val="69065D92"/>
    <w:multiLevelType w:val="hybridMultilevel"/>
    <w:tmpl w:val="C25860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6A5505EA"/>
    <w:multiLevelType w:val="multilevel"/>
    <w:tmpl w:val="0FDE2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AF63196"/>
    <w:multiLevelType w:val="multilevel"/>
    <w:tmpl w:val="05A00E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B2C450D"/>
    <w:multiLevelType w:val="multilevel"/>
    <w:tmpl w:val="81FE62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C177181"/>
    <w:multiLevelType w:val="multilevel"/>
    <w:tmpl w:val="5D9A45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C391566"/>
    <w:multiLevelType w:val="multilevel"/>
    <w:tmpl w:val="47BE99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C6A6A58"/>
    <w:multiLevelType w:val="multilevel"/>
    <w:tmpl w:val="165A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C996633"/>
    <w:multiLevelType w:val="multilevel"/>
    <w:tmpl w:val="DDCC6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D23054C"/>
    <w:multiLevelType w:val="hybridMultilevel"/>
    <w:tmpl w:val="C7B04354"/>
    <w:lvl w:ilvl="0" w:tplc="43A6BBAA">
      <w:start w:val="1"/>
      <w:numFmt w:val="bullet"/>
      <w:lvlText w:val=""/>
      <w:lvlJc w:val="left"/>
      <w:pPr>
        <w:ind w:left="720" w:hanging="360"/>
      </w:pPr>
      <w:rPr>
        <w:rFonts w:ascii="Symbol" w:hAnsi="Symbol" w:hint="default"/>
      </w:rPr>
    </w:lvl>
    <w:lvl w:ilvl="1" w:tplc="0068054C">
      <w:start w:val="1"/>
      <w:numFmt w:val="bullet"/>
      <w:lvlText w:val="o"/>
      <w:lvlJc w:val="left"/>
      <w:pPr>
        <w:ind w:left="1440" w:hanging="360"/>
      </w:pPr>
      <w:rPr>
        <w:rFonts w:ascii="Courier New" w:hAnsi="Courier New" w:hint="default"/>
      </w:rPr>
    </w:lvl>
    <w:lvl w:ilvl="2" w:tplc="813EB52E">
      <w:start w:val="1"/>
      <w:numFmt w:val="bullet"/>
      <w:lvlText w:val=""/>
      <w:lvlJc w:val="left"/>
      <w:pPr>
        <w:ind w:left="2160" w:hanging="360"/>
      </w:pPr>
      <w:rPr>
        <w:rFonts w:ascii="Wingdings" w:hAnsi="Wingdings" w:hint="default"/>
      </w:rPr>
    </w:lvl>
    <w:lvl w:ilvl="3" w:tplc="496E648E">
      <w:start w:val="1"/>
      <w:numFmt w:val="bullet"/>
      <w:lvlText w:val=""/>
      <w:lvlJc w:val="left"/>
      <w:pPr>
        <w:ind w:left="2880" w:hanging="360"/>
      </w:pPr>
      <w:rPr>
        <w:rFonts w:ascii="Symbol" w:hAnsi="Symbol" w:hint="default"/>
      </w:rPr>
    </w:lvl>
    <w:lvl w:ilvl="4" w:tplc="336E949A">
      <w:start w:val="1"/>
      <w:numFmt w:val="bullet"/>
      <w:lvlText w:val="o"/>
      <w:lvlJc w:val="left"/>
      <w:pPr>
        <w:ind w:left="3600" w:hanging="360"/>
      </w:pPr>
      <w:rPr>
        <w:rFonts w:ascii="Courier New" w:hAnsi="Courier New" w:hint="default"/>
      </w:rPr>
    </w:lvl>
    <w:lvl w:ilvl="5" w:tplc="813653C4">
      <w:start w:val="1"/>
      <w:numFmt w:val="bullet"/>
      <w:lvlText w:val=""/>
      <w:lvlJc w:val="left"/>
      <w:pPr>
        <w:ind w:left="4320" w:hanging="360"/>
      </w:pPr>
      <w:rPr>
        <w:rFonts w:ascii="Wingdings" w:hAnsi="Wingdings" w:hint="default"/>
      </w:rPr>
    </w:lvl>
    <w:lvl w:ilvl="6" w:tplc="DC541982">
      <w:start w:val="1"/>
      <w:numFmt w:val="bullet"/>
      <w:lvlText w:val=""/>
      <w:lvlJc w:val="left"/>
      <w:pPr>
        <w:ind w:left="5040" w:hanging="360"/>
      </w:pPr>
      <w:rPr>
        <w:rFonts w:ascii="Symbol" w:hAnsi="Symbol" w:hint="default"/>
      </w:rPr>
    </w:lvl>
    <w:lvl w:ilvl="7" w:tplc="0F78D862">
      <w:start w:val="1"/>
      <w:numFmt w:val="bullet"/>
      <w:lvlText w:val="o"/>
      <w:lvlJc w:val="left"/>
      <w:pPr>
        <w:ind w:left="5760" w:hanging="360"/>
      </w:pPr>
      <w:rPr>
        <w:rFonts w:ascii="Courier New" w:hAnsi="Courier New" w:hint="default"/>
      </w:rPr>
    </w:lvl>
    <w:lvl w:ilvl="8" w:tplc="DEBA13EC">
      <w:start w:val="1"/>
      <w:numFmt w:val="bullet"/>
      <w:lvlText w:val=""/>
      <w:lvlJc w:val="left"/>
      <w:pPr>
        <w:ind w:left="6480" w:hanging="360"/>
      </w:pPr>
      <w:rPr>
        <w:rFonts w:ascii="Wingdings" w:hAnsi="Wingdings" w:hint="default"/>
      </w:rPr>
    </w:lvl>
  </w:abstractNum>
  <w:abstractNum w:abstractNumId="243" w15:restartNumberingAfterBreak="0">
    <w:nsid w:val="6D37208E"/>
    <w:multiLevelType w:val="multilevel"/>
    <w:tmpl w:val="5590EA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D3D1521"/>
    <w:multiLevelType w:val="multilevel"/>
    <w:tmpl w:val="A7F4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6DA5245A"/>
    <w:multiLevelType w:val="multilevel"/>
    <w:tmpl w:val="B4FA6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6" w15:restartNumberingAfterBreak="0">
    <w:nsid w:val="6DF232BA"/>
    <w:multiLevelType w:val="multilevel"/>
    <w:tmpl w:val="8A2660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F462268"/>
    <w:multiLevelType w:val="multilevel"/>
    <w:tmpl w:val="497801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0C91522"/>
    <w:multiLevelType w:val="hybridMultilevel"/>
    <w:tmpl w:val="B166068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9" w15:restartNumberingAfterBreak="0">
    <w:nsid w:val="712C04A5"/>
    <w:multiLevelType w:val="multilevel"/>
    <w:tmpl w:val="CB5CFD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1453CF0"/>
    <w:multiLevelType w:val="multilevel"/>
    <w:tmpl w:val="EB4E8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7191193E"/>
    <w:multiLevelType w:val="hybridMultilevel"/>
    <w:tmpl w:val="20165476"/>
    <w:lvl w:ilvl="0" w:tplc="8D4C092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71AF14D4"/>
    <w:multiLevelType w:val="multilevel"/>
    <w:tmpl w:val="8132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24C24D4"/>
    <w:multiLevelType w:val="multilevel"/>
    <w:tmpl w:val="26CCAE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28D4D5D"/>
    <w:multiLevelType w:val="multilevel"/>
    <w:tmpl w:val="76B0E3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2EABBFA"/>
    <w:multiLevelType w:val="hybridMultilevel"/>
    <w:tmpl w:val="F4065032"/>
    <w:lvl w:ilvl="0" w:tplc="0FF0A80C">
      <w:start w:val="1"/>
      <w:numFmt w:val="bullet"/>
      <w:lvlText w:val=""/>
      <w:lvlJc w:val="left"/>
      <w:pPr>
        <w:ind w:left="720" w:hanging="360"/>
      </w:pPr>
      <w:rPr>
        <w:rFonts w:ascii="Symbol" w:hAnsi="Symbol" w:hint="default"/>
      </w:rPr>
    </w:lvl>
    <w:lvl w:ilvl="1" w:tplc="3FFCF910">
      <w:start w:val="1"/>
      <w:numFmt w:val="bullet"/>
      <w:lvlText w:val="o"/>
      <w:lvlJc w:val="left"/>
      <w:pPr>
        <w:ind w:left="1440" w:hanging="360"/>
      </w:pPr>
      <w:rPr>
        <w:rFonts w:ascii="Courier New" w:hAnsi="Courier New" w:hint="default"/>
      </w:rPr>
    </w:lvl>
    <w:lvl w:ilvl="2" w:tplc="6B6A31AE">
      <w:start w:val="1"/>
      <w:numFmt w:val="bullet"/>
      <w:lvlText w:val=""/>
      <w:lvlJc w:val="left"/>
      <w:pPr>
        <w:ind w:left="2160" w:hanging="360"/>
      </w:pPr>
      <w:rPr>
        <w:rFonts w:ascii="Wingdings" w:hAnsi="Wingdings" w:hint="default"/>
      </w:rPr>
    </w:lvl>
    <w:lvl w:ilvl="3" w:tplc="6CC64BA6">
      <w:start w:val="1"/>
      <w:numFmt w:val="bullet"/>
      <w:lvlText w:val=""/>
      <w:lvlJc w:val="left"/>
      <w:pPr>
        <w:ind w:left="2880" w:hanging="360"/>
      </w:pPr>
      <w:rPr>
        <w:rFonts w:ascii="Symbol" w:hAnsi="Symbol" w:hint="default"/>
      </w:rPr>
    </w:lvl>
    <w:lvl w:ilvl="4" w:tplc="9842A080">
      <w:start w:val="1"/>
      <w:numFmt w:val="bullet"/>
      <w:lvlText w:val="o"/>
      <w:lvlJc w:val="left"/>
      <w:pPr>
        <w:ind w:left="3600" w:hanging="360"/>
      </w:pPr>
      <w:rPr>
        <w:rFonts w:ascii="Courier New" w:hAnsi="Courier New" w:hint="default"/>
      </w:rPr>
    </w:lvl>
    <w:lvl w:ilvl="5" w:tplc="DB6C36FC">
      <w:start w:val="1"/>
      <w:numFmt w:val="bullet"/>
      <w:lvlText w:val=""/>
      <w:lvlJc w:val="left"/>
      <w:pPr>
        <w:ind w:left="4320" w:hanging="360"/>
      </w:pPr>
      <w:rPr>
        <w:rFonts w:ascii="Wingdings" w:hAnsi="Wingdings" w:hint="default"/>
      </w:rPr>
    </w:lvl>
    <w:lvl w:ilvl="6" w:tplc="BE3442D0">
      <w:start w:val="1"/>
      <w:numFmt w:val="bullet"/>
      <w:lvlText w:val=""/>
      <w:lvlJc w:val="left"/>
      <w:pPr>
        <w:ind w:left="5040" w:hanging="360"/>
      </w:pPr>
      <w:rPr>
        <w:rFonts w:ascii="Symbol" w:hAnsi="Symbol" w:hint="default"/>
      </w:rPr>
    </w:lvl>
    <w:lvl w:ilvl="7" w:tplc="808054D6">
      <w:start w:val="1"/>
      <w:numFmt w:val="bullet"/>
      <w:lvlText w:val="o"/>
      <w:lvlJc w:val="left"/>
      <w:pPr>
        <w:ind w:left="5760" w:hanging="360"/>
      </w:pPr>
      <w:rPr>
        <w:rFonts w:ascii="Courier New" w:hAnsi="Courier New" w:hint="default"/>
      </w:rPr>
    </w:lvl>
    <w:lvl w:ilvl="8" w:tplc="06EC0F54">
      <w:start w:val="1"/>
      <w:numFmt w:val="bullet"/>
      <w:lvlText w:val=""/>
      <w:lvlJc w:val="left"/>
      <w:pPr>
        <w:ind w:left="6480" w:hanging="360"/>
      </w:pPr>
      <w:rPr>
        <w:rFonts w:ascii="Wingdings" w:hAnsi="Wingdings" w:hint="default"/>
      </w:rPr>
    </w:lvl>
  </w:abstractNum>
  <w:abstractNum w:abstractNumId="256" w15:restartNumberingAfterBreak="0">
    <w:nsid w:val="744B25D3"/>
    <w:multiLevelType w:val="multilevel"/>
    <w:tmpl w:val="B3C41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4DE2C35"/>
    <w:multiLevelType w:val="multilevel"/>
    <w:tmpl w:val="712047E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8" w15:restartNumberingAfterBreak="0">
    <w:nsid w:val="757B53F4"/>
    <w:multiLevelType w:val="multilevel"/>
    <w:tmpl w:val="FCFE4C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9" w15:restartNumberingAfterBreak="0">
    <w:nsid w:val="762376CB"/>
    <w:multiLevelType w:val="multilevel"/>
    <w:tmpl w:val="22FEC9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636592A"/>
    <w:multiLevelType w:val="multilevel"/>
    <w:tmpl w:val="E3A24D3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1" w15:restartNumberingAfterBreak="0">
    <w:nsid w:val="76E61463"/>
    <w:multiLevelType w:val="multilevel"/>
    <w:tmpl w:val="B150C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6F15864"/>
    <w:multiLevelType w:val="multilevel"/>
    <w:tmpl w:val="57F603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76E112A"/>
    <w:multiLevelType w:val="multilevel"/>
    <w:tmpl w:val="58484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77F2413"/>
    <w:multiLevelType w:val="multilevel"/>
    <w:tmpl w:val="4E36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88F541A"/>
    <w:multiLevelType w:val="multilevel"/>
    <w:tmpl w:val="58D8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8E77C54"/>
    <w:multiLevelType w:val="hybridMultilevel"/>
    <w:tmpl w:val="F2461164"/>
    <w:lvl w:ilvl="0" w:tplc="4AB218E2">
      <w:start w:val="1"/>
      <w:numFmt w:val="bullet"/>
      <w:lvlText w:val="-"/>
      <w:lvlJc w:val="left"/>
      <w:pPr>
        <w:ind w:left="720" w:hanging="360"/>
      </w:pPr>
      <w:rPr>
        <w:rFonts w:ascii="Calibri Light" w:eastAsiaTheme="minorEastAsia"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9503DE8"/>
    <w:multiLevelType w:val="multilevel"/>
    <w:tmpl w:val="5C4403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8" w15:restartNumberingAfterBreak="0">
    <w:nsid w:val="7A8E77F9"/>
    <w:multiLevelType w:val="multilevel"/>
    <w:tmpl w:val="A01274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ABC6175"/>
    <w:multiLevelType w:val="multilevel"/>
    <w:tmpl w:val="4306A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AC35FF4"/>
    <w:multiLevelType w:val="multilevel"/>
    <w:tmpl w:val="BDE0BD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BC51235"/>
    <w:multiLevelType w:val="hybridMultilevel"/>
    <w:tmpl w:val="A8C03A98"/>
    <w:lvl w:ilvl="0" w:tplc="6CCE7DDE">
      <w:start w:val="1"/>
      <w:numFmt w:val="bullet"/>
      <w:lvlText w:val=""/>
      <w:lvlJc w:val="left"/>
      <w:pPr>
        <w:ind w:left="720" w:hanging="360"/>
      </w:pPr>
      <w:rPr>
        <w:rFonts w:ascii="Symbol" w:hAnsi="Symbol" w:hint="default"/>
      </w:rPr>
    </w:lvl>
    <w:lvl w:ilvl="1" w:tplc="112E5C48">
      <w:start w:val="1"/>
      <w:numFmt w:val="bullet"/>
      <w:lvlText w:val="o"/>
      <w:lvlJc w:val="left"/>
      <w:pPr>
        <w:ind w:left="1440" w:hanging="360"/>
      </w:pPr>
      <w:rPr>
        <w:rFonts w:ascii="Courier New" w:hAnsi="Courier New" w:hint="default"/>
      </w:rPr>
    </w:lvl>
    <w:lvl w:ilvl="2" w:tplc="91D07142">
      <w:start w:val="1"/>
      <w:numFmt w:val="bullet"/>
      <w:lvlText w:val=""/>
      <w:lvlJc w:val="left"/>
      <w:pPr>
        <w:ind w:left="2160" w:hanging="360"/>
      </w:pPr>
      <w:rPr>
        <w:rFonts w:ascii="Wingdings" w:hAnsi="Wingdings" w:hint="default"/>
      </w:rPr>
    </w:lvl>
    <w:lvl w:ilvl="3" w:tplc="89B09166">
      <w:start w:val="1"/>
      <w:numFmt w:val="bullet"/>
      <w:lvlText w:val=""/>
      <w:lvlJc w:val="left"/>
      <w:pPr>
        <w:ind w:left="2880" w:hanging="360"/>
      </w:pPr>
      <w:rPr>
        <w:rFonts w:ascii="Symbol" w:hAnsi="Symbol" w:hint="default"/>
      </w:rPr>
    </w:lvl>
    <w:lvl w:ilvl="4" w:tplc="95CC2D2E">
      <w:start w:val="1"/>
      <w:numFmt w:val="bullet"/>
      <w:lvlText w:val="o"/>
      <w:lvlJc w:val="left"/>
      <w:pPr>
        <w:ind w:left="3600" w:hanging="360"/>
      </w:pPr>
      <w:rPr>
        <w:rFonts w:ascii="Courier New" w:hAnsi="Courier New" w:hint="default"/>
      </w:rPr>
    </w:lvl>
    <w:lvl w:ilvl="5" w:tplc="946EA3B0">
      <w:start w:val="1"/>
      <w:numFmt w:val="bullet"/>
      <w:lvlText w:val=""/>
      <w:lvlJc w:val="left"/>
      <w:pPr>
        <w:ind w:left="4320" w:hanging="360"/>
      </w:pPr>
      <w:rPr>
        <w:rFonts w:ascii="Wingdings" w:hAnsi="Wingdings" w:hint="default"/>
      </w:rPr>
    </w:lvl>
    <w:lvl w:ilvl="6" w:tplc="4468B8A4">
      <w:start w:val="1"/>
      <w:numFmt w:val="bullet"/>
      <w:lvlText w:val=""/>
      <w:lvlJc w:val="left"/>
      <w:pPr>
        <w:ind w:left="5040" w:hanging="360"/>
      </w:pPr>
      <w:rPr>
        <w:rFonts w:ascii="Symbol" w:hAnsi="Symbol" w:hint="default"/>
      </w:rPr>
    </w:lvl>
    <w:lvl w:ilvl="7" w:tplc="1CB25116">
      <w:start w:val="1"/>
      <w:numFmt w:val="bullet"/>
      <w:lvlText w:val="o"/>
      <w:lvlJc w:val="left"/>
      <w:pPr>
        <w:ind w:left="5760" w:hanging="360"/>
      </w:pPr>
      <w:rPr>
        <w:rFonts w:ascii="Courier New" w:hAnsi="Courier New" w:hint="default"/>
      </w:rPr>
    </w:lvl>
    <w:lvl w:ilvl="8" w:tplc="4360328A">
      <w:start w:val="1"/>
      <w:numFmt w:val="bullet"/>
      <w:lvlText w:val=""/>
      <w:lvlJc w:val="left"/>
      <w:pPr>
        <w:ind w:left="6480" w:hanging="360"/>
      </w:pPr>
      <w:rPr>
        <w:rFonts w:ascii="Wingdings" w:hAnsi="Wingdings" w:hint="default"/>
      </w:rPr>
    </w:lvl>
  </w:abstractNum>
  <w:abstractNum w:abstractNumId="272" w15:restartNumberingAfterBreak="0">
    <w:nsid w:val="7BE54A24"/>
    <w:multiLevelType w:val="multilevel"/>
    <w:tmpl w:val="138C4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C3B4234"/>
    <w:multiLevelType w:val="multilevel"/>
    <w:tmpl w:val="0C1E61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C3F5A53"/>
    <w:multiLevelType w:val="hybridMultilevel"/>
    <w:tmpl w:val="B5646C62"/>
    <w:lvl w:ilvl="0" w:tplc="683092B6">
      <w:start w:val="1"/>
      <w:numFmt w:val="bullet"/>
      <w:lvlText w:val=""/>
      <w:lvlJc w:val="left"/>
      <w:pPr>
        <w:ind w:left="720" w:hanging="360"/>
      </w:pPr>
      <w:rPr>
        <w:rFonts w:ascii="Symbol" w:hAnsi="Symbol" w:hint="default"/>
      </w:rPr>
    </w:lvl>
    <w:lvl w:ilvl="1" w:tplc="BC14F3CC">
      <w:start w:val="1"/>
      <w:numFmt w:val="bullet"/>
      <w:lvlText w:val="o"/>
      <w:lvlJc w:val="left"/>
      <w:pPr>
        <w:ind w:left="1440" w:hanging="360"/>
      </w:pPr>
      <w:rPr>
        <w:rFonts w:ascii="Courier New" w:hAnsi="Courier New" w:hint="default"/>
      </w:rPr>
    </w:lvl>
    <w:lvl w:ilvl="2" w:tplc="5DFE4DAE">
      <w:start w:val="1"/>
      <w:numFmt w:val="bullet"/>
      <w:lvlText w:val=""/>
      <w:lvlJc w:val="left"/>
      <w:pPr>
        <w:ind w:left="2160" w:hanging="360"/>
      </w:pPr>
      <w:rPr>
        <w:rFonts w:ascii="Wingdings" w:hAnsi="Wingdings" w:hint="default"/>
      </w:rPr>
    </w:lvl>
    <w:lvl w:ilvl="3" w:tplc="90EC462C">
      <w:start w:val="1"/>
      <w:numFmt w:val="bullet"/>
      <w:lvlText w:val=""/>
      <w:lvlJc w:val="left"/>
      <w:pPr>
        <w:ind w:left="2880" w:hanging="360"/>
      </w:pPr>
      <w:rPr>
        <w:rFonts w:ascii="Symbol" w:hAnsi="Symbol" w:hint="default"/>
      </w:rPr>
    </w:lvl>
    <w:lvl w:ilvl="4" w:tplc="53EE523C">
      <w:start w:val="1"/>
      <w:numFmt w:val="bullet"/>
      <w:lvlText w:val="o"/>
      <w:lvlJc w:val="left"/>
      <w:pPr>
        <w:ind w:left="3600" w:hanging="360"/>
      </w:pPr>
      <w:rPr>
        <w:rFonts w:ascii="Courier New" w:hAnsi="Courier New" w:hint="default"/>
      </w:rPr>
    </w:lvl>
    <w:lvl w:ilvl="5" w:tplc="3CD40AEE">
      <w:start w:val="1"/>
      <w:numFmt w:val="bullet"/>
      <w:lvlText w:val=""/>
      <w:lvlJc w:val="left"/>
      <w:pPr>
        <w:ind w:left="4320" w:hanging="360"/>
      </w:pPr>
      <w:rPr>
        <w:rFonts w:ascii="Wingdings" w:hAnsi="Wingdings" w:hint="default"/>
      </w:rPr>
    </w:lvl>
    <w:lvl w:ilvl="6" w:tplc="AE4AF544">
      <w:start w:val="1"/>
      <w:numFmt w:val="bullet"/>
      <w:lvlText w:val=""/>
      <w:lvlJc w:val="left"/>
      <w:pPr>
        <w:ind w:left="5040" w:hanging="360"/>
      </w:pPr>
      <w:rPr>
        <w:rFonts w:ascii="Symbol" w:hAnsi="Symbol" w:hint="default"/>
      </w:rPr>
    </w:lvl>
    <w:lvl w:ilvl="7" w:tplc="EFAE64F0">
      <w:start w:val="1"/>
      <w:numFmt w:val="bullet"/>
      <w:lvlText w:val="o"/>
      <w:lvlJc w:val="left"/>
      <w:pPr>
        <w:ind w:left="5760" w:hanging="360"/>
      </w:pPr>
      <w:rPr>
        <w:rFonts w:ascii="Courier New" w:hAnsi="Courier New" w:hint="default"/>
      </w:rPr>
    </w:lvl>
    <w:lvl w:ilvl="8" w:tplc="E85A696E">
      <w:start w:val="1"/>
      <w:numFmt w:val="bullet"/>
      <w:lvlText w:val=""/>
      <w:lvlJc w:val="left"/>
      <w:pPr>
        <w:ind w:left="6480" w:hanging="360"/>
      </w:pPr>
      <w:rPr>
        <w:rFonts w:ascii="Wingdings" w:hAnsi="Wingdings" w:hint="default"/>
      </w:rPr>
    </w:lvl>
  </w:abstractNum>
  <w:abstractNum w:abstractNumId="275" w15:restartNumberingAfterBreak="0">
    <w:nsid w:val="7C4E08C4"/>
    <w:multiLevelType w:val="multilevel"/>
    <w:tmpl w:val="0B8C7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C7C77B8"/>
    <w:multiLevelType w:val="multilevel"/>
    <w:tmpl w:val="393059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CE36B62"/>
    <w:multiLevelType w:val="multilevel"/>
    <w:tmpl w:val="D4AC4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DA87143"/>
    <w:multiLevelType w:val="multilevel"/>
    <w:tmpl w:val="DD30F7A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9" w15:restartNumberingAfterBreak="0">
    <w:nsid w:val="7DAA3009"/>
    <w:multiLevelType w:val="multilevel"/>
    <w:tmpl w:val="0376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E816DCD"/>
    <w:multiLevelType w:val="multilevel"/>
    <w:tmpl w:val="406CDC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EA128BE"/>
    <w:multiLevelType w:val="multilevel"/>
    <w:tmpl w:val="5C88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7EAC517D"/>
    <w:multiLevelType w:val="multilevel"/>
    <w:tmpl w:val="BD24C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6516304">
    <w:abstractNumId w:val="222"/>
  </w:num>
  <w:num w:numId="2" w16cid:durableId="2073307783">
    <w:abstractNumId w:val="6"/>
  </w:num>
  <w:num w:numId="3" w16cid:durableId="1935361261">
    <w:abstractNumId w:val="175"/>
  </w:num>
  <w:num w:numId="4" w16cid:durableId="274604431">
    <w:abstractNumId w:val="111"/>
  </w:num>
  <w:num w:numId="5" w16cid:durableId="60374848">
    <w:abstractNumId w:val="94"/>
  </w:num>
  <w:num w:numId="6" w16cid:durableId="32124388">
    <w:abstractNumId w:val="66"/>
  </w:num>
  <w:num w:numId="7" w16cid:durableId="1466776038">
    <w:abstractNumId w:val="217"/>
  </w:num>
  <w:num w:numId="8" w16cid:durableId="1833905487">
    <w:abstractNumId w:val="216"/>
  </w:num>
  <w:num w:numId="9" w16cid:durableId="203106867">
    <w:abstractNumId w:val="242"/>
  </w:num>
  <w:num w:numId="10" w16cid:durableId="344670426">
    <w:abstractNumId w:val="30"/>
  </w:num>
  <w:num w:numId="11" w16cid:durableId="1682507736">
    <w:abstractNumId w:val="41"/>
  </w:num>
  <w:num w:numId="12" w16cid:durableId="1344017005">
    <w:abstractNumId w:val="22"/>
  </w:num>
  <w:num w:numId="13" w16cid:durableId="713384590">
    <w:abstractNumId w:val="182"/>
  </w:num>
  <w:num w:numId="14" w16cid:durableId="1883711628">
    <w:abstractNumId w:val="248"/>
  </w:num>
  <w:num w:numId="15" w16cid:durableId="5737769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3973962">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2836080">
    <w:abstractNumId w:val="20"/>
  </w:num>
  <w:num w:numId="18" w16cid:durableId="504589555">
    <w:abstractNumId w:val="74"/>
  </w:num>
  <w:num w:numId="19" w16cid:durableId="604583884">
    <w:abstractNumId w:val="153"/>
  </w:num>
  <w:num w:numId="20" w16cid:durableId="225145525">
    <w:abstractNumId w:val="194"/>
  </w:num>
  <w:num w:numId="21" w16cid:durableId="585573030">
    <w:abstractNumId w:val="68"/>
  </w:num>
  <w:num w:numId="22" w16cid:durableId="2026321328">
    <w:abstractNumId w:val="68"/>
    <w:lvlOverride w:ilvl="0">
      <w:lvl w:ilvl="0">
        <w:start w:val="1"/>
        <w:numFmt w:val="decimal"/>
        <w:lvlText w:val="%1"/>
        <w:lvlJc w:val="left"/>
        <w:pPr>
          <w:ind w:left="720" w:hanging="720"/>
        </w:pPr>
        <w:rPr>
          <w:rFonts w:hint="default"/>
        </w:rPr>
      </w:lvl>
    </w:lvlOverride>
    <w:lvlOverride w:ilvl="1">
      <w:lvl w:ilvl="1">
        <w:start w:val="1"/>
        <w:numFmt w:val="decimal"/>
        <w:pStyle w:val="heading2numbered"/>
        <w:lvlText w:val="%1.%2"/>
        <w:lvlJc w:val="left"/>
        <w:pPr>
          <w:ind w:left="720" w:hanging="720"/>
        </w:pPr>
        <w:rPr>
          <w:rFonts w:hint="default"/>
        </w:rPr>
      </w:lvl>
    </w:lvlOverride>
    <w:lvlOverride w:ilvl="2">
      <w:lvl w:ilvl="2">
        <w:start w:val="1"/>
        <w:numFmt w:val="decimal"/>
        <w:pStyle w:val="heading3numbered"/>
        <w:lvlText w:val="%1.%2.%3"/>
        <w:lvlJc w:val="left"/>
        <w:pPr>
          <w:ind w:left="1997"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 w:numId="23" w16cid:durableId="2121755141">
    <w:abstractNumId w:val="42"/>
  </w:num>
  <w:num w:numId="24" w16cid:durableId="582883596">
    <w:abstractNumId w:val="51"/>
  </w:num>
  <w:num w:numId="25" w16cid:durableId="359554684">
    <w:abstractNumId w:val="18"/>
  </w:num>
  <w:num w:numId="26" w16cid:durableId="50007334">
    <w:abstractNumId w:val="271"/>
  </w:num>
  <w:num w:numId="27" w16cid:durableId="1835484681">
    <w:abstractNumId w:val="109"/>
  </w:num>
  <w:num w:numId="28" w16cid:durableId="2133551844">
    <w:abstractNumId w:val="274"/>
  </w:num>
  <w:num w:numId="29" w16cid:durableId="177235842">
    <w:abstractNumId w:val="58"/>
  </w:num>
  <w:num w:numId="30" w16cid:durableId="2116093842">
    <w:abstractNumId w:val="214"/>
  </w:num>
  <w:num w:numId="31" w16cid:durableId="976911126">
    <w:abstractNumId w:val="196"/>
  </w:num>
  <w:num w:numId="32" w16cid:durableId="1290279491">
    <w:abstractNumId w:val="255"/>
  </w:num>
  <w:num w:numId="33" w16cid:durableId="1999773024">
    <w:abstractNumId w:val="213"/>
  </w:num>
  <w:num w:numId="34" w16cid:durableId="2030831433">
    <w:abstractNumId w:val="171"/>
  </w:num>
  <w:num w:numId="35" w16cid:durableId="643896930">
    <w:abstractNumId w:val="190"/>
  </w:num>
  <w:num w:numId="36" w16cid:durableId="1742218071">
    <w:abstractNumId w:val="108"/>
  </w:num>
  <w:num w:numId="37" w16cid:durableId="1287810885">
    <w:abstractNumId w:val="251"/>
  </w:num>
  <w:num w:numId="38" w16cid:durableId="868952460">
    <w:abstractNumId w:val="105"/>
  </w:num>
  <w:num w:numId="39" w16cid:durableId="1599873835">
    <w:abstractNumId w:val="209"/>
  </w:num>
  <w:num w:numId="40" w16cid:durableId="761528935">
    <w:abstractNumId w:val="159"/>
  </w:num>
  <w:num w:numId="41" w16cid:durableId="1919555381">
    <w:abstractNumId w:val="266"/>
  </w:num>
  <w:num w:numId="42" w16cid:durableId="1556501414">
    <w:abstractNumId w:val="176"/>
  </w:num>
  <w:num w:numId="43" w16cid:durableId="156582767">
    <w:abstractNumId w:val="101"/>
  </w:num>
  <w:num w:numId="44" w16cid:durableId="2075739131">
    <w:abstractNumId w:val="84"/>
  </w:num>
  <w:num w:numId="45" w16cid:durableId="1394350251">
    <w:abstractNumId w:val="12"/>
  </w:num>
  <w:num w:numId="46" w16cid:durableId="706760468">
    <w:abstractNumId w:val="229"/>
  </w:num>
  <w:num w:numId="47" w16cid:durableId="772675261">
    <w:abstractNumId w:val="34"/>
  </w:num>
  <w:num w:numId="48" w16cid:durableId="2067298389">
    <w:abstractNumId w:val="0"/>
  </w:num>
  <w:num w:numId="49" w16cid:durableId="2083788819">
    <w:abstractNumId w:val="260"/>
  </w:num>
  <w:num w:numId="50" w16cid:durableId="123499906">
    <w:abstractNumId w:val="19"/>
  </w:num>
  <w:num w:numId="51" w16cid:durableId="1148400904">
    <w:abstractNumId w:val="142"/>
  </w:num>
  <w:num w:numId="52" w16cid:durableId="1648432952">
    <w:abstractNumId w:val="124"/>
  </w:num>
  <w:num w:numId="53" w16cid:durableId="27880902">
    <w:abstractNumId w:val="279"/>
  </w:num>
  <w:num w:numId="54" w16cid:durableId="1664895714">
    <w:abstractNumId w:val="122"/>
  </w:num>
  <w:num w:numId="55" w16cid:durableId="38432348">
    <w:abstractNumId w:val="37"/>
  </w:num>
  <w:num w:numId="56" w16cid:durableId="77945618">
    <w:abstractNumId w:val="135"/>
  </w:num>
  <w:num w:numId="57" w16cid:durableId="1013726110">
    <w:abstractNumId w:val="277"/>
  </w:num>
  <w:num w:numId="58" w16cid:durableId="1886597675">
    <w:abstractNumId w:val="168"/>
  </w:num>
  <w:num w:numId="59" w16cid:durableId="1489055456">
    <w:abstractNumId w:val="11"/>
  </w:num>
  <w:num w:numId="60" w16cid:durableId="464932251">
    <w:abstractNumId w:val="155"/>
  </w:num>
  <w:num w:numId="61" w16cid:durableId="1758748505">
    <w:abstractNumId w:val="24"/>
  </w:num>
  <w:num w:numId="62" w16cid:durableId="1695157272">
    <w:abstractNumId w:val="152"/>
  </w:num>
  <w:num w:numId="63" w16cid:durableId="554588620">
    <w:abstractNumId w:val="116"/>
  </w:num>
  <w:num w:numId="64" w16cid:durableId="1018235743">
    <w:abstractNumId w:val="191"/>
  </w:num>
  <w:num w:numId="65" w16cid:durableId="1289820710">
    <w:abstractNumId w:val="261"/>
  </w:num>
  <w:num w:numId="66" w16cid:durableId="109707766">
    <w:abstractNumId w:val="186"/>
  </w:num>
  <w:num w:numId="67" w16cid:durableId="1800220178">
    <w:abstractNumId w:val="200"/>
  </w:num>
  <w:num w:numId="68" w16cid:durableId="243145147">
    <w:abstractNumId w:val="254"/>
  </w:num>
  <w:num w:numId="69" w16cid:durableId="138691918">
    <w:abstractNumId w:val="143"/>
  </w:num>
  <w:num w:numId="70" w16cid:durableId="2025596932">
    <w:abstractNumId w:val="161"/>
  </w:num>
  <w:num w:numId="71" w16cid:durableId="623467763">
    <w:abstractNumId w:val="17"/>
  </w:num>
  <w:num w:numId="72" w16cid:durableId="679043235">
    <w:abstractNumId w:val="218"/>
  </w:num>
  <w:num w:numId="73" w16cid:durableId="1957174645">
    <w:abstractNumId w:val="85"/>
  </w:num>
  <w:num w:numId="74" w16cid:durableId="1096170714">
    <w:abstractNumId w:val="278"/>
  </w:num>
  <w:num w:numId="75" w16cid:durableId="2014139840">
    <w:abstractNumId w:val="258"/>
  </w:num>
  <w:num w:numId="76" w16cid:durableId="1275016799">
    <w:abstractNumId w:val="91"/>
  </w:num>
  <w:num w:numId="77" w16cid:durableId="2038432499">
    <w:abstractNumId w:val="83"/>
  </w:num>
  <w:num w:numId="78" w16cid:durableId="1400396244">
    <w:abstractNumId w:val="241"/>
  </w:num>
  <w:num w:numId="79" w16cid:durableId="882644309">
    <w:abstractNumId w:val="181"/>
  </w:num>
  <w:num w:numId="80" w16cid:durableId="1294284844">
    <w:abstractNumId w:val="60"/>
  </w:num>
  <w:num w:numId="81" w16cid:durableId="250504924">
    <w:abstractNumId w:val="250"/>
  </w:num>
  <w:num w:numId="82" w16cid:durableId="1151680525">
    <w:abstractNumId w:val="10"/>
  </w:num>
  <w:num w:numId="83" w16cid:durableId="1957639716">
    <w:abstractNumId w:val="69"/>
  </w:num>
  <w:num w:numId="84" w16cid:durableId="2116748068">
    <w:abstractNumId w:val="225"/>
  </w:num>
  <w:num w:numId="85" w16cid:durableId="1399478390">
    <w:abstractNumId w:val="136"/>
  </w:num>
  <w:num w:numId="86" w16cid:durableId="351610264">
    <w:abstractNumId w:val="133"/>
  </w:num>
  <w:num w:numId="87" w16cid:durableId="522674658">
    <w:abstractNumId w:val="210"/>
  </w:num>
  <w:num w:numId="88" w16cid:durableId="2109303276">
    <w:abstractNumId w:val="61"/>
  </w:num>
  <w:num w:numId="89" w16cid:durableId="17120338">
    <w:abstractNumId w:val="141"/>
  </w:num>
  <w:num w:numId="90" w16cid:durableId="1949964446">
    <w:abstractNumId w:val="231"/>
  </w:num>
  <w:num w:numId="91" w16cid:durableId="582881249">
    <w:abstractNumId w:val="13"/>
  </w:num>
  <w:num w:numId="92" w16cid:durableId="1118378281">
    <w:abstractNumId w:val="120"/>
  </w:num>
  <w:num w:numId="93" w16cid:durableId="2010214276">
    <w:abstractNumId w:val="172"/>
  </w:num>
  <w:num w:numId="94" w16cid:durableId="1449616999">
    <w:abstractNumId w:val="150"/>
  </w:num>
  <w:num w:numId="95" w16cid:durableId="1837843092">
    <w:abstractNumId w:val="167"/>
  </w:num>
  <w:num w:numId="96" w16cid:durableId="1572347040">
    <w:abstractNumId w:val="86"/>
  </w:num>
  <w:num w:numId="97" w16cid:durableId="1175535992">
    <w:abstractNumId w:val="233"/>
  </w:num>
  <w:num w:numId="98" w16cid:durableId="1056473059">
    <w:abstractNumId w:val="188"/>
  </w:num>
  <w:num w:numId="99" w16cid:durableId="917402646">
    <w:abstractNumId w:val="174"/>
  </w:num>
  <w:num w:numId="100" w16cid:durableId="1123841202">
    <w:abstractNumId w:val="149"/>
  </w:num>
  <w:num w:numId="101" w16cid:durableId="1093283188">
    <w:abstractNumId w:val="28"/>
  </w:num>
  <w:num w:numId="102" w16cid:durableId="777677590">
    <w:abstractNumId w:val="112"/>
  </w:num>
  <w:num w:numId="103" w16cid:durableId="1839690098">
    <w:abstractNumId w:val="38"/>
  </w:num>
  <w:num w:numId="104" w16cid:durableId="1837528779">
    <w:abstractNumId w:val="93"/>
  </w:num>
  <w:num w:numId="105" w16cid:durableId="226380138">
    <w:abstractNumId w:val="92"/>
  </w:num>
  <w:num w:numId="106" w16cid:durableId="1974673297">
    <w:abstractNumId w:val="224"/>
  </w:num>
  <w:num w:numId="107" w16cid:durableId="770006608">
    <w:abstractNumId w:val="55"/>
  </w:num>
  <w:num w:numId="108" w16cid:durableId="385421712">
    <w:abstractNumId w:val="228"/>
  </w:num>
  <w:num w:numId="109" w16cid:durableId="1651207665">
    <w:abstractNumId w:val="138"/>
  </w:num>
  <w:num w:numId="110" w16cid:durableId="2017264284">
    <w:abstractNumId w:val="227"/>
  </w:num>
  <w:num w:numId="111" w16cid:durableId="1980841285">
    <w:abstractNumId w:val="154"/>
  </w:num>
  <w:num w:numId="112" w16cid:durableId="1975065531">
    <w:abstractNumId w:val="36"/>
  </w:num>
  <w:num w:numId="113" w16cid:durableId="1644389693">
    <w:abstractNumId w:val="96"/>
  </w:num>
  <w:num w:numId="114" w16cid:durableId="1282763698">
    <w:abstractNumId w:val="189"/>
  </w:num>
  <w:num w:numId="115" w16cid:durableId="988480388">
    <w:abstractNumId w:val="239"/>
  </w:num>
  <w:num w:numId="116" w16cid:durableId="295716893">
    <w:abstractNumId w:val="144"/>
  </w:num>
  <w:num w:numId="117" w16cid:durableId="802113946">
    <w:abstractNumId w:val="243"/>
  </w:num>
  <w:num w:numId="118" w16cid:durableId="886796861">
    <w:abstractNumId w:val="89"/>
  </w:num>
  <w:num w:numId="119" w16cid:durableId="1014303476">
    <w:abstractNumId w:val="223"/>
  </w:num>
  <w:num w:numId="120" w16cid:durableId="25638238">
    <w:abstractNumId w:val="147"/>
  </w:num>
  <w:num w:numId="121" w16cid:durableId="620692985">
    <w:abstractNumId w:val="148"/>
  </w:num>
  <w:num w:numId="122" w16cid:durableId="1468812368">
    <w:abstractNumId w:val="160"/>
  </w:num>
  <w:num w:numId="123" w16cid:durableId="845752959">
    <w:abstractNumId w:val="107"/>
  </w:num>
  <w:num w:numId="124" w16cid:durableId="1253391398">
    <w:abstractNumId w:val="67"/>
  </w:num>
  <w:num w:numId="125" w16cid:durableId="1084113332">
    <w:abstractNumId w:val="180"/>
  </w:num>
  <w:num w:numId="126" w16cid:durableId="189076178">
    <w:abstractNumId w:val="282"/>
  </w:num>
  <w:num w:numId="127" w16cid:durableId="385568705">
    <w:abstractNumId w:val="31"/>
  </w:num>
  <w:num w:numId="128" w16cid:durableId="822477286">
    <w:abstractNumId w:val="220"/>
  </w:num>
  <w:num w:numId="129" w16cid:durableId="835652286">
    <w:abstractNumId w:val="117"/>
  </w:num>
  <w:num w:numId="130" w16cid:durableId="1895773665">
    <w:abstractNumId w:val="4"/>
  </w:num>
  <w:num w:numId="131" w16cid:durableId="1714772974">
    <w:abstractNumId w:val="79"/>
  </w:num>
  <w:num w:numId="132" w16cid:durableId="1281456214">
    <w:abstractNumId w:val="212"/>
  </w:num>
  <w:num w:numId="133" w16cid:durableId="476872444">
    <w:abstractNumId w:val="64"/>
  </w:num>
  <w:num w:numId="134" w16cid:durableId="123936077">
    <w:abstractNumId w:val="119"/>
  </w:num>
  <w:num w:numId="135" w16cid:durableId="1037582231">
    <w:abstractNumId w:val="134"/>
  </w:num>
  <w:num w:numId="136" w16cid:durableId="140776513">
    <w:abstractNumId w:val="238"/>
  </w:num>
  <w:num w:numId="137" w16cid:durableId="169106316">
    <w:abstractNumId w:val="158"/>
  </w:num>
  <w:num w:numId="138" w16cid:durableId="1740787901">
    <w:abstractNumId w:val="114"/>
  </w:num>
  <w:num w:numId="139" w16cid:durableId="1849055935">
    <w:abstractNumId w:val="205"/>
  </w:num>
  <w:num w:numId="140" w16cid:durableId="904225233">
    <w:abstractNumId w:val="166"/>
  </w:num>
  <w:num w:numId="141" w16cid:durableId="1505634289">
    <w:abstractNumId w:val="139"/>
  </w:num>
  <w:num w:numId="142" w16cid:durableId="2099206554">
    <w:abstractNumId w:val="80"/>
  </w:num>
  <w:num w:numId="143" w16cid:durableId="403455720">
    <w:abstractNumId w:val="185"/>
  </w:num>
  <w:num w:numId="144" w16cid:durableId="914780513">
    <w:abstractNumId w:val="49"/>
  </w:num>
  <w:num w:numId="145" w16cid:durableId="563562516">
    <w:abstractNumId w:val="95"/>
  </w:num>
  <w:num w:numId="146" w16cid:durableId="91362134">
    <w:abstractNumId w:val="195"/>
  </w:num>
  <w:num w:numId="147" w16cid:durableId="87584589">
    <w:abstractNumId w:val="35"/>
  </w:num>
  <w:num w:numId="148" w16cid:durableId="2049140279">
    <w:abstractNumId w:val="118"/>
  </w:num>
  <w:num w:numId="149" w16cid:durableId="678508020">
    <w:abstractNumId w:val="267"/>
  </w:num>
  <w:num w:numId="150" w16cid:durableId="1531338856">
    <w:abstractNumId w:val="62"/>
  </w:num>
  <w:num w:numId="151" w16cid:durableId="245460687">
    <w:abstractNumId w:val="177"/>
  </w:num>
  <w:num w:numId="152" w16cid:durableId="1725593084">
    <w:abstractNumId w:val="230"/>
  </w:num>
  <w:num w:numId="153" w16cid:durableId="265501098">
    <w:abstractNumId w:val="132"/>
  </w:num>
  <w:num w:numId="154" w16cid:durableId="2067333513">
    <w:abstractNumId w:val="7"/>
  </w:num>
  <w:num w:numId="155" w16cid:durableId="1764645069">
    <w:abstractNumId w:val="121"/>
  </w:num>
  <w:num w:numId="156" w16cid:durableId="487552316">
    <w:abstractNumId w:val="164"/>
  </w:num>
  <w:num w:numId="157" w16cid:durableId="510994000">
    <w:abstractNumId w:val="237"/>
  </w:num>
  <w:num w:numId="158" w16cid:durableId="1922985594">
    <w:abstractNumId w:val="245"/>
  </w:num>
  <w:num w:numId="159" w16cid:durableId="235239658">
    <w:abstractNumId w:val="211"/>
  </w:num>
  <w:num w:numId="160" w16cid:durableId="1700357093">
    <w:abstractNumId w:val="202"/>
  </w:num>
  <w:num w:numId="161" w16cid:durableId="187645903">
    <w:abstractNumId w:val="126"/>
  </w:num>
  <w:num w:numId="162" w16cid:durableId="2062556047">
    <w:abstractNumId w:val="78"/>
  </w:num>
  <w:num w:numId="163" w16cid:durableId="623079787">
    <w:abstractNumId w:val="253"/>
  </w:num>
  <w:num w:numId="164" w16cid:durableId="1713504778">
    <w:abstractNumId w:val="87"/>
  </w:num>
  <w:num w:numId="165" w16cid:durableId="706760378">
    <w:abstractNumId w:val="15"/>
  </w:num>
  <w:num w:numId="166" w16cid:durableId="1112745496">
    <w:abstractNumId w:val="203"/>
  </w:num>
  <w:num w:numId="167" w16cid:durableId="1236479771">
    <w:abstractNumId w:val="44"/>
  </w:num>
  <w:num w:numId="168" w16cid:durableId="570774432">
    <w:abstractNumId w:val="48"/>
  </w:num>
  <w:num w:numId="169" w16cid:durableId="819270896">
    <w:abstractNumId w:val="27"/>
  </w:num>
  <w:num w:numId="170" w16cid:durableId="362362484">
    <w:abstractNumId w:val="9"/>
  </w:num>
  <w:num w:numId="171" w16cid:durableId="79060309">
    <w:abstractNumId w:val="115"/>
  </w:num>
  <w:num w:numId="172" w16cid:durableId="343091106">
    <w:abstractNumId w:val="169"/>
  </w:num>
  <w:num w:numId="173" w16cid:durableId="430976404">
    <w:abstractNumId w:val="53"/>
  </w:num>
  <w:num w:numId="174" w16cid:durableId="564418040">
    <w:abstractNumId w:val="273"/>
  </w:num>
  <w:num w:numId="175" w16cid:durableId="818544890">
    <w:abstractNumId w:val="76"/>
  </w:num>
  <w:num w:numId="176" w16cid:durableId="573970843">
    <w:abstractNumId w:val="249"/>
  </w:num>
  <w:num w:numId="177" w16cid:durableId="1728603567">
    <w:abstractNumId w:val="32"/>
  </w:num>
  <w:num w:numId="178" w16cid:durableId="750125800">
    <w:abstractNumId w:val="187"/>
  </w:num>
  <w:num w:numId="179" w16cid:durableId="1523203313">
    <w:abstractNumId w:val="110"/>
  </w:num>
  <w:num w:numId="180" w16cid:durableId="1458329145">
    <w:abstractNumId w:val="123"/>
  </w:num>
  <w:num w:numId="181" w16cid:durableId="599723661">
    <w:abstractNumId w:val="247"/>
  </w:num>
  <w:num w:numId="182" w16cid:durableId="1299920215">
    <w:abstractNumId w:val="131"/>
  </w:num>
  <w:num w:numId="183" w16cid:durableId="1891261144">
    <w:abstractNumId w:val="276"/>
  </w:num>
  <w:num w:numId="184" w16cid:durableId="96946302">
    <w:abstractNumId w:val="130"/>
  </w:num>
  <w:num w:numId="185" w16cid:durableId="1805654570">
    <w:abstractNumId w:val="128"/>
  </w:num>
  <w:num w:numId="186" w16cid:durableId="360133778">
    <w:abstractNumId w:val="21"/>
  </w:num>
  <w:num w:numId="187" w16cid:durableId="1257053648">
    <w:abstractNumId w:val="257"/>
  </w:num>
  <w:num w:numId="188" w16cid:durableId="605188543">
    <w:abstractNumId w:val="145"/>
  </w:num>
  <w:num w:numId="189" w16cid:durableId="1058745934">
    <w:abstractNumId w:val="256"/>
  </w:num>
  <w:num w:numId="190" w16cid:durableId="4015508">
    <w:abstractNumId w:val="268"/>
  </w:num>
  <w:num w:numId="191" w16cid:durableId="900365785">
    <w:abstractNumId w:val="193"/>
  </w:num>
  <w:num w:numId="192" w16cid:durableId="331841528">
    <w:abstractNumId w:val="235"/>
  </w:num>
  <w:num w:numId="193" w16cid:durableId="54669288">
    <w:abstractNumId w:val="1"/>
  </w:num>
  <w:num w:numId="194" w16cid:durableId="1514802716">
    <w:abstractNumId w:val="262"/>
  </w:num>
  <w:num w:numId="195" w16cid:durableId="891427221">
    <w:abstractNumId w:val="65"/>
  </w:num>
  <w:num w:numId="196" w16cid:durableId="734206223">
    <w:abstractNumId w:val="104"/>
  </w:num>
  <w:num w:numId="197" w16cid:durableId="1043822927">
    <w:abstractNumId w:val="97"/>
  </w:num>
  <w:num w:numId="198" w16cid:durableId="1033115741">
    <w:abstractNumId w:val="3"/>
  </w:num>
  <w:num w:numId="199" w16cid:durableId="1084834345">
    <w:abstractNumId w:val="71"/>
  </w:num>
  <w:num w:numId="200" w16cid:durableId="231700282">
    <w:abstractNumId w:val="184"/>
  </w:num>
  <w:num w:numId="201" w16cid:durableId="2071727026">
    <w:abstractNumId w:val="204"/>
  </w:num>
  <w:num w:numId="202" w16cid:durableId="1897013057">
    <w:abstractNumId w:val="156"/>
  </w:num>
  <w:num w:numId="203" w16cid:durableId="1984775086">
    <w:abstractNumId w:val="57"/>
  </w:num>
  <w:num w:numId="204" w16cid:durableId="1212500403">
    <w:abstractNumId w:val="23"/>
  </w:num>
  <w:num w:numId="205" w16cid:durableId="797600505">
    <w:abstractNumId w:val="199"/>
  </w:num>
  <w:num w:numId="206" w16cid:durableId="744962017">
    <w:abstractNumId w:val="26"/>
  </w:num>
  <w:num w:numId="207" w16cid:durableId="1227490613">
    <w:abstractNumId w:val="165"/>
  </w:num>
  <w:num w:numId="208" w16cid:durableId="323896919">
    <w:abstractNumId w:val="178"/>
  </w:num>
  <w:num w:numId="209" w16cid:durableId="1714387138">
    <w:abstractNumId w:val="221"/>
  </w:num>
  <w:num w:numId="210" w16cid:durableId="2128549294">
    <w:abstractNumId w:val="264"/>
  </w:num>
  <w:num w:numId="211" w16cid:durableId="1501852438">
    <w:abstractNumId w:val="263"/>
  </w:num>
  <w:num w:numId="212" w16cid:durableId="60913036">
    <w:abstractNumId w:val="280"/>
  </w:num>
  <w:num w:numId="213" w16cid:durableId="1624266947">
    <w:abstractNumId w:val="137"/>
  </w:num>
  <w:num w:numId="214" w16cid:durableId="2125878855">
    <w:abstractNumId w:val="281"/>
  </w:num>
  <w:num w:numId="215" w16cid:durableId="1212350574">
    <w:abstractNumId w:val="102"/>
  </w:num>
  <w:num w:numId="216" w16cid:durableId="105664954">
    <w:abstractNumId w:val="47"/>
  </w:num>
  <w:num w:numId="217" w16cid:durableId="1981809713">
    <w:abstractNumId w:val="81"/>
  </w:num>
  <w:num w:numId="218" w16cid:durableId="1984118879">
    <w:abstractNumId w:val="208"/>
  </w:num>
  <w:num w:numId="219" w16cid:durableId="1171457390">
    <w:abstractNumId w:val="88"/>
  </w:num>
  <w:num w:numId="220" w16cid:durableId="2035375156">
    <w:abstractNumId w:val="170"/>
  </w:num>
  <w:num w:numId="221" w16cid:durableId="1261059920">
    <w:abstractNumId w:val="45"/>
  </w:num>
  <w:num w:numId="222" w16cid:durableId="1558397873">
    <w:abstractNumId w:val="129"/>
  </w:num>
  <w:num w:numId="223" w16cid:durableId="1115368207">
    <w:abstractNumId w:val="106"/>
  </w:num>
  <w:num w:numId="224" w16cid:durableId="180360989">
    <w:abstractNumId w:val="2"/>
  </w:num>
  <w:num w:numId="225" w16cid:durableId="949358738">
    <w:abstractNumId w:val="265"/>
  </w:num>
  <w:num w:numId="226" w16cid:durableId="739912443">
    <w:abstractNumId w:val="163"/>
  </w:num>
  <w:num w:numId="227" w16cid:durableId="1007249790">
    <w:abstractNumId w:val="50"/>
  </w:num>
  <w:num w:numId="228" w16cid:durableId="699085417">
    <w:abstractNumId w:val="39"/>
  </w:num>
  <w:num w:numId="229" w16cid:durableId="1594390591">
    <w:abstractNumId w:val="206"/>
  </w:num>
  <w:num w:numId="230" w16cid:durableId="1961573172">
    <w:abstractNumId w:val="197"/>
  </w:num>
  <w:num w:numId="231" w16cid:durableId="1758358605">
    <w:abstractNumId w:val="46"/>
  </w:num>
  <w:num w:numId="232" w16cid:durableId="243144873">
    <w:abstractNumId w:val="232"/>
  </w:num>
  <w:num w:numId="233" w16cid:durableId="483814471">
    <w:abstractNumId w:val="82"/>
  </w:num>
  <w:num w:numId="234" w16cid:durableId="254411171">
    <w:abstractNumId w:val="59"/>
  </w:num>
  <w:num w:numId="235" w16cid:durableId="711854608">
    <w:abstractNumId w:val="90"/>
  </w:num>
  <w:num w:numId="236" w16cid:durableId="256256856">
    <w:abstractNumId w:val="100"/>
  </w:num>
  <w:num w:numId="237" w16cid:durableId="2075813878">
    <w:abstractNumId w:val="113"/>
  </w:num>
  <w:num w:numId="238" w16cid:durableId="1557937459">
    <w:abstractNumId w:val="215"/>
  </w:num>
  <w:num w:numId="239" w16cid:durableId="840852326">
    <w:abstractNumId w:val="63"/>
  </w:num>
  <w:num w:numId="240" w16cid:durableId="1518421312">
    <w:abstractNumId w:val="127"/>
  </w:num>
  <w:num w:numId="241" w16cid:durableId="1014067386">
    <w:abstractNumId w:val="146"/>
  </w:num>
  <w:num w:numId="242" w16cid:durableId="61217947">
    <w:abstractNumId w:val="259"/>
  </w:num>
  <w:num w:numId="243" w16cid:durableId="1681852045">
    <w:abstractNumId w:val="5"/>
  </w:num>
  <w:num w:numId="244" w16cid:durableId="1204441406">
    <w:abstractNumId w:val="272"/>
  </w:num>
  <w:num w:numId="245" w16cid:durableId="622538725">
    <w:abstractNumId w:val="246"/>
  </w:num>
  <w:num w:numId="246" w16cid:durableId="788430000">
    <w:abstractNumId w:val="8"/>
  </w:num>
  <w:num w:numId="247" w16cid:durableId="1172183957">
    <w:abstractNumId w:val="54"/>
  </w:num>
  <w:num w:numId="248" w16cid:durableId="1690528137">
    <w:abstractNumId w:val="140"/>
  </w:num>
  <w:num w:numId="249" w16cid:durableId="1098714885">
    <w:abstractNumId w:val="14"/>
  </w:num>
  <w:num w:numId="250" w16cid:durableId="780686724">
    <w:abstractNumId w:val="162"/>
  </w:num>
  <w:num w:numId="251" w16cid:durableId="1517504800">
    <w:abstractNumId w:val="157"/>
  </w:num>
  <w:num w:numId="252" w16cid:durableId="165629728">
    <w:abstractNumId w:val="98"/>
  </w:num>
  <w:num w:numId="253" w16cid:durableId="1922593863">
    <w:abstractNumId w:val="33"/>
  </w:num>
  <w:num w:numId="254" w16cid:durableId="1677806026">
    <w:abstractNumId w:val="270"/>
  </w:num>
  <w:num w:numId="255" w16cid:durableId="600453602">
    <w:abstractNumId w:val="73"/>
  </w:num>
  <w:num w:numId="256" w16cid:durableId="2141074959">
    <w:abstractNumId w:val="201"/>
  </w:num>
  <w:num w:numId="257" w16cid:durableId="1618443246">
    <w:abstractNumId w:val="16"/>
  </w:num>
  <w:num w:numId="258" w16cid:durableId="1408844274">
    <w:abstractNumId w:val="103"/>
  </w:num>
  <w:num w:numId="259" w16cid:durableId="1788111901">
    <w:abstractNumId w:val="252"/>
  </w:num>
  <w:num w:numId="260" w16cid:durableId="458455158">
    <w:abstractNumId w:val="77"/>
  </w:num>
  <w:num w:numId="261" w16cid:durableId="566112876">
    <w:abstractNumId w:val="75"/>
  </w:num>
  <w:num w:numId="262" w16cid:durableId="978149037">
    <w:abstractNumId w:val="207"/>
  </w:num>
  <w:num w:numId="263" w16cid:durableId="772356932">
    <w:abstractNumId w:val="40"/>
  </w:num>
  <w:num w:numId="264" w16cid:durableId="1840266850">
    <w:abstractNumId w:val="226"/>
  </w:num>
  <w:num w:numId="265" w16cid:durableId="1821119846">
    <w:abstractNumId w:val="52"/>
  </w:num>
  <w:num w:numId="266" w16cid:durableId="1170486573">
    <w:abstractNumId w:val="219"/>
  </w:num>
  <w:num w:numId="267" w16cid:durableId="1714309355">
    <w:abstractNumId w:val="192"/>
  </w:num>
  <w:num w:numId="268" w16cid:durableId="437137315">
    <w:abstractNumId w:val="72"/>
  </w:num>
  <w:num w:numId="269" w16cid:durableId="5642930">
    <w:abstractNumId w:val="240"/>
  </w:num>
  <w:num w:numId="270" w16cid:durableId="1605265164">
    <w:abstractNumId w:val="183"/>
  </w:num>
  <w:num w:numId="271" w16cid:durableId="2068450974">
    <w:abstractNumId w:val="125"/>
  </w:num>
  <w:num w:numId="272" w16cid:durableId="1864632554">
    <w:abstractNumId w:val="25"/>
  </w:num>
  <w:num w:numId="273" w16cid:durableId="1118568626">
    <w:abstractNumId w:val="275"/>
  </w:num>
  <w:num w:numId="274" w16cid:durableId="1548447260">
    <w:abstractNumId w:val="56"/>
  </w:num>
  <w:num w:numId="275" w16cid:durableId="1198007352">
    <w:abstractNumId w:val="244"/>
  </w:num>
  <w:num w:numId="276" w16cid:durableId="2026592965">
    <w:abstractNumId w:val="70"/>
  </w:num>
  <w:num w:numId="277" w16cid:durableId="2066760718">
    <w:abstractNumId w:val="173"/>
  </w:num>
  <w:num w:numId="278" w16cid:durableId="51119855">
    <w:abstractNumId w:val="198"/>
  </w:num>
  <w:num w:numId="279" w16cid:durableId="722483517">
    <w:abstractNumId w:val="99"/>
  </w:num>
  <w:num w:numId="280" w16cid:durableId="1410730397">
    <w:abstractNumId w:val="269"/>
  </w:num>
  <w:num w:numId="281" w16cid:durableId="1164779002">
    <w:abstractNumId w:val="236"/>
  </w:num>
  <w:num w:numId="282" w16cid:durableId="422262509">
    <w:abstractNumId w:val="151"/>
  </w:num>
  <w:num w:numId="283" w16cid:durableId="314995554">
    <w:abstractNumId w:val="179"/>
  </w:num>
  <w:num w:numId="284" w16cid:durableId="1302149314">
    <w:abstractNumId w:val="29"/>
  </w:num>
  <w:numIdMacAtCleanup w:val="2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mailMerge>
    <w:mainDocumentType w:val="formLetters"/>
    <w:dataType w:val="textFile"/>
    <w:activeRecord w:val="-1"/>
    <w:odso/>
  </w:mailMerg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C1"/>
    <w:rsid w:val="00000A94"/>
    <w:rsid w:val="000033B7"/>
    <w:rsid w:val="00004076"/>
    <w:rsid w:val="00011855"/>
    <w:rsid w:val="00015380"/>
    <w:rsid w:val="00017CC4"/>
    <w:rsid w:val="00020238"/>
    <w:rsid w:val="0002297C"/>
    <w:rsid w:val="00025E36"/>
    <w:rsid w:val="00025FD2"/>
    <w:rsid w:val="0003039A"/>
    <w:rsid w:val="0003049E"/>
    <w:rsid w:val="0003278A"/>
    <w:rsid w:val="000333D8"/>
    <w:rsid w:val="00033FFC"/>
    <w:rsid w:val="000356EC"/>
    <w:rsid w:val="00037467"/>
    <w:rsid w:val="00037EC6"/>
    <w:rsid w:val="0004120D"/>
    <w:rsid w:val="000417D6"/>
    <w:rsid w:val="00043849"/>
    <w:rsid w:val="00047A88"/>
    <w:rsid w:val="0005274A"/>
    <w:rsid w:val="00052C06"/>
    <w:rsid w:val="00057EA4"/>
    <w:rsid w:val="00063D12"/>
    <w:rsid w:val="00064719"/>
    <w:rsid w:val="00066443"/>
    <w:rsid w:val="000707F9"/>
    <w:rsid w:val="0007240E"/>
    <w:rsid w:val="00077750"/>
    <w:rsid w:val="0008053D"/>
    <w:rsid w:val="00081BF6"/>
    <w:rsid w:val="00086487"/>
    <w:rsid w:val="0009041B"/>
    <w:rsid w:val="000911FB"/>
    <w:rsid w:val="000938D4"/>
    <w:rsid w:val="00093E14"/>
    <w:rsid w:val="000A0648"/>
    <w:rsid w:val="000A1930"/>
    <w:rsid w:val="000A1B63"/>
    <w:rsid w:val="000A575A"/>
    <w:rsid w:val="000A6E63"/>
    <w:rsid w:val="000B04EC"/>
    <w:rsid w:val="000B3B05"/>
    <w:rsid w:val="000B4B2A"/>
    <w:rsid w:val="000B59E3"/>
    <w:rsid w:val="000B6F67"/>
    <w:rsid w:val="000B7140"/>
    <w:rsid w:val="000C08A7"/>
    <w:rsid w:val="000C3E4D"/>
    <w:rsid w:val="000C4746"/>
    <w:rsid w:val="000C7B2E"/>
    <w:rsid w:val="000D4F17"/>
    <w:rsid w:val="000E1231"/>
    <w:rsid w:val="000E2E68"/>
    <w:rsid w:val="000E340F"/>
    <w:rsid w:val="000F22CA"/>
    <w:rsid w:val="000F4218"/>
    <w:rsid w:val="00101E7A"/>
    <w:rsid w:val="001061C8"/>
    <w:rsid w:val="001066E4"/>
    <w:rsid w:val="001119A9"/>
    <w:rsid w:val="001121DF"/>
    <w:rsid w:val="001132A2"/>
    <w:rsid w:val="00113700"/>
    <w:rsid w:val="001221C2"/>
    <w:rsid w:val="001242C8"/>
    <w:rsid w:val="00126425"/>
    <w:rsid w:val="00126960"/>
    <w:rsid w:val="00126ACA"/>
    <w:rsid w:val="001275B4"/>
    <w:rsid w:val="00132303"/>
    <w:rsid w:val="0013300D"/>
    <w:rsid w:val="001365CA"/>
    <w:rsid w:val="00137380"/>
    <w:rsid w:val="001373E6"/>
    <w:rsid w:val="00137CE5"/>
    <w:rsid w:val="00140413"/>
    <w:rsid w:val="00141BAD"/>
    <w:rsid w:val="00144784"/>
    <w:rsid w:val="001519CF"/>
    <w:rsid w:val="00154EB7"/>
    <w:rsid w:val="001569CB"/>
    <w:rsid w:val="00160C77"/>
    <w:rsid w:val="00161FF5"/>
    <w:rsid w:val="0016244D"/>
    <w:rsid w:val="00162C27"/>
    <w:rsid w:val="00167DCD"/>
    <w:rsid w:val="001811BB"/>
    <w:rsid w:val="00181DFA"/>
    <w:rsid w:val="00181E04"/>
    <w:rsid w:val="001830E2"/>
    <w:rsid w:val="00183594"/>
    <w:rsid w:val="00185BB3"/>
    <w:rsid w:val="00186F7B"/>
    <w:rsid w:val="0018790B"/>
    <w:rsid w:val="00187BEA"/>
    <w:rsid w:val="00190B11"/>
    <w:rsid w:val="001921E3"/>
    <w:rsid w:val="00195199"/>
    <w:rsid w:val="00197A01"/>
    <w:rsid w:val="001A225F"/>
    <w:rsid w:val="001A5655"/>
    <w:rsid w:val="001A56F6"/>
    <w:rsid w:val="001B0683"/>
    <w:rsid w:val="001B6B32"/>
    <w:rsid w:val="001BE67A"/>
    <w:rsid w:val="001C0BC3"/>
    <w:rsid w:val="001C2A9B"/>
    <w:rsid w:val="001C789C"/>
    <w:rsid w:val="001D0EEE"/>
    <w:rsid w:val="001D0FE5"/>
    <w:rsid w:val="001D4851"/>
    <w:rsid w:val="001D553D"/>
    <w:rsid w:val="001E101B"/>
    <w:rsid w:val="001E3BCA"/>
    <w:rsid w:val="001E4A87"/>
    <w:rsid w:val="001E7B3E"/>
    <w:rsid w:val="001F087D"/>
    <w:rsid w:val="001F0C35"/>
    <w:rsid w:val="001F0EE9"/>
    <w:rsid w:val="001F1CFB"/>
    <w:rsid w:val="001F54D6"/>
    <w:rsid w:val="00201C38"/>
    <w:rsid w:val="00202F2D"/>
    <w:rsid w:val="00204001"/>
    <w:rsid w:val="00204712"/>
    <w:rsid w:val="0020623E"/>
    <w:rsid w:val="002111FC"/>
    <w:rsid w:val="00213060"/>
    <w:rsid w:val="00214455"/>
    <w:rsid w:val="00224C91"/>
    <w:rsid w:val="002300E8"/>
    <w:rsid w:val="00230B34"/>
    <w:rsid w:val="00230D29"/>
    <w:rsid w:val="00231217"/>
    <w:rsid w:val="00232FF9"/>
    <w:rsid w:val="00240377"/>
    <w:rsid w:val="00240716"/>
    <w:rsid w:val="00242A32"/>
    <w:rsid w:val="00244D25"/>
    <w:rsid w:val="0024568D"/>
    <w:rsid w:val="00245907"/>
    <w:rsid w:val="00251FA2"/>
    <w:rsid w:val="00254043"/>
    <w:rsid w:val="0025498F"/>
    <w:rsid w:val="00255A07"/>
    <w:rsid w:val="0026010D"/>
    <w:rsid w:val="00261909"/>
    <w:rsid w:val="002665E5"/>
    <w:rsid w:val="00267809"/>
    <w:rsid w:val="00272B7D"/>
    <w:rsid w:val="00272E46"/>
    <w:rsid w:val="0027512D"/>
    <w:rsid w:val="00277135"/>
    <w:rsid w:val="00280235"/>
    <w:rsid w:val="00280F5D"/>
    <w:rsid w:val="00281CAE"/>
    <w:rsid w:val="002864CA"/>
    <w:rsid w:val="00286F39"/>
    <w:rsid w:val="00291020"/>
    <w:rsid w:val="0029185D"/>
    <w:rsid w:val="0029189F"/>
    <w:rsid w:val="00292C19"/>
    <w:rsid w:val="00293A54"/>
    <w:rsid w:val="00293CE6"/>
    <w:rsid w:val="00294109"/>
    <w:rsid w:val="00294F86"/>
    <w:rsid w:val="002950A2"/>
    <w:rsid w:val="00297671"/>
    <w:rsid w:val="002A0B22"/>
    <w:rsid w:val="002A1257"/>
    <w:rsid w:val="002B0A61"/>
    <w:rsid w:val="002B4181"/>
    <w:rsid w:val="002B5932"/>
    <w:rsid w:val="002B626F"/>
    <w:rsid w:val="002B6A93"/>
    <w:rsid w:val="002C17F0"/>
    <w:rsid w:val="002C4883"/>
    <w:rsid w:val="002C50D5"/>
    <w:rsid w:val="002C6403"/>
    <w:rsid w:val="002C68F5"/>
    <w:rsid w:val="002C6C34"/>
    <w:rsid w:val="002C6E65"/>
    <w:rsid w:val="002D123C"/>
    <w:rsid w:val="002D3398"/>
    <w:rsid w:val="002D4264"/>
    <w:rsid w:val="002D6E2A"/>
    <w:rsid w:val="002D7099"/>
    <w:rsid w:val="002E03A7"/>
    <w:rsid w:val="002E1A63"/>
    <w:rsid w:val="002E31D8"/>
    <w:rsid w:val="002E79B9"/>
    <w:rsid w:val="002F1162"/>
    <w:rsid w:val="002F5493"/>
    <w:rsid w:val="00301E1F"/>
    <w:rsid w:val="003031E1"/>
    <w:rsid w:val="00305597"/>
    <w:rsid w:val="00307BE9"/>
    <w:rsid w:val="003106A3"/>
    <w:rsid w:val="00313C14"/>
    <w:rsid w:val="00314C43"/>
    <w:rsid w:val="00317518"/>
    <w:rsid w:val="00317655"/>
    <w:rsid w:val="003233B0"/>
    <w:rsid w:val="00324A51"/>
    <w:rsid w:val="0032630C"/>
    <w:rsid w:val="0033120C"/>
    <w:rsid w:val="003317C4"/>
    <w:rsid w:val="0033345B"/>
    <w:rsid w:val="00334430"/>
    <w:rsid w:val="003432B2"/>
    <w:rsid w:val="00343C7D"/>
    <w:rsid w:val="00345019"/>
    <w:rsid w:val="003505EC"/>
    <w:rsid w:val="00354E2B"/>
    <w:rsid w:val="00356935"/>
    <w:rsid w:val="003571C5"/>
    <w:rsid w:val="003613D9"/>
    <w:rsid w:val="00366AC3"/>
    <w:rsid w:val="00367BFF"/>
    <w:rsid w:val="00370E85"/>
    <w:rsid w:val="00372182"/>
    <w:rsid w:val="003757A7"/>
    <w:rsid w:val="00381B69"/>
    <w:rsid w:val="00383FB9"/>
    <w:rsid w:val="00387BD7"/>
    <w:rsid w:val="00392051"/>
    <w:rsid w:val="00392550"/>
    <w:rsid w:val="00394AAE"/>
    <w:rsid w:val="00395998"/>
    <w:rsid w:val="00399DC5"/>
    <w:rsid w:val="003A0C40"/>
    <w:rsid w:val="003A7334"/>
    <w:rsid w:val="003B07D6"/>
    <w:rsid w:val="003B0D96"/>
    <w:rsid w:val="003B45B5"/>
    <w:rsid w:val="003B66B5"/>
    <w:rsid w:val="003B7694"/>
    <w:rsid w:val="003C0710"/>
    <w:rsid w:val="003C2201"/>
    <w:rsid w:val="003C4B1C"/>
    <w:rsid w:val="003C56FE"/>
    <w:rsid w:val="003D4345"/>
    <w:rsid w:val="003D463A"/>
    <w:rsid w:val="003D724B"/>
    <w:rsid w:val="003D7B4D"/>
    <w:rsid w:val="003E11CF"/>
    <w:rsid w:val="003E1C3D"/>
    <w:rsid w:val="003E3E53"/>
    <w:rsid w:val="003F3CB9"/>
    <w:rsid w:val="003F4C7C"/>
    <w:rsid w:val="003F4FE8"/>
    <w:rsid w:val="00400120"/>
    <w:rsid w:val="00400792"/>
    <w:rsid w:val="00400926"/>
    <w:rsid w:val="00401D80"/>
    <w:rsid w:val="00403372"/>
    <w:rsid w:val="00403375"/>
    <w:rsid w:val="00404992"/>
    <w:rsid w:val="00404ABD"/>
    <w:rsid w:val="00405260"/>
    <w:rsid w:val="0040660E"/>
    <w:rsid w:val="00407C92"/>
    <w:rsid w:val="00411640"/>
    <w:rsid w:val="004154DD"/>
    <w:rsid w:val="00416E5B"/>
    <w:rsid w:val="00417248"/>
    <w:rsid w:val="004172C6"/>
    <w:rsid w:val="00417A5F"/>
    <w:rsid w:val="00422CED"/>
    <w:rsid w:val="00423AF0"/>
    <w:rsid w:val="004246E3"/>
    <w:rsid w:val="00425622"/>
    <w:rsid w:val="00426E05"/>
    <w:rsid w:val="00427254"/>
    <w:rsid w:val="00433272"/>
    <w:rsid w:val="00435254"/>
    <w:rsid w:val="00442C45"/>
    <w:rsid w:val="0044378E"/>
    <w:rsid w:val="00444E28"/>
    <w:rsid w:val="004465A3"/>
    <w:rsid w:val="004504EF"/>
    <w:rsid w:val="00450F65"/>
    <w:rsid w:val="004532AB"/>
    <w:rsid w:val="00454D91"/>
    <w:rsid w:val="0046669F"/>
    <w:rsid w:val="004727D7"/>
    <w:rsid w:val="00474703"/>
    <w:rsid w:val="004748D2"/>
    <w:rsid w:val="00474D37"/>
    <w:rsid w:val="00475B51"/>
    <w:rsid w:val="0047668E"/>
    <w:rsid w:val="00482345"/>
    <w:rsid w:val="00485DB2"/>
    <w:rsid w:val="00486B4C"/>
    <w:rsid w:val="004903FA"/>
    <w:rsid w:val="00491A9B"/>
    <w:rsid w:val="00497007"/>
    <w:rsid w:val="00497536"/>
    <w:rsid w:val="004A0F24"/>
    <w:rsid w:val="004A13E8"/>
    <w:rsid w:val="004A761A"/>
    <w:rsid w:val="004B03DE"/>
    <w:rsid w:val="004B2FCB"/>
    <w:rsid w:val="004B4AF9"/>
    <w:rsid w:val="004C103F"/>
    <w:rsid w:val="004C2F13"/>
    <w:rsid w:val="004D1058"/>
    <w:rsid w:val="004D1CF2"/>
    <w:rsid w:val="004D43D0"/>
    <w:rsid w:val="004E3EE2"/>
    <w:rsid w:val="004E40DE"/>
    <w:rsid w:val="004E58F6"/>
    <w:rsid w:val="004E6608"/>
    <w:rsid w:val="004F043B"/>
    <w:rsid w:val="004F3034"/>
    <w:rsid w:val="004F4BF9"/>
    <w:rsid w:val="004F5142"/>
    <w:rsid w:val="004F612D"/>
    <w:rsid w:val="004F76DC"/>
    <w:rsid w:val="004F7DF0"/>
    <w:rsid w:val="00501FE2"/>
    <w:rsid w:val="005033AB"/>
    <w:rsid w:val="00503809"/>
    <w:rsid w:val="005040EF"/>
    <w:rsid w:val="005043A1"/>
    <w:rsid w:val="005075E1"/>
    <w:rsid w:val="005140B5"/>
    <w:rsid w:val="00515045"/>
    <w:rsid w:val="005150FA"/>
    <w:rsid w:val="00515250"/>
    <w:rsid w:val="00515585"/>
    <w:rsid w:val="00516B16"/>
    <w:rsid w:val="00520DC4"/>
    <w:rsid w:val="005219C4"/>
    <w:rsid w:val="00521A8E"/>
    <w:rsid w:val="00521D5A"/>
    <w:rsid w:val="0052412F"/>
    <w:rsid w:val="005245AD"/>
    <w:rsid w:val="00530571"/>
    <w:rsid w:val="0053473C"/>
    <w:rsid w:val="00537FCB"/>
    <w:rsid w:val="0053F578"/>
    <w:rsid w:val="005408D9"/>
    <w:rsid w:val="00542A7F"/>
    <w:rsid w:val="00552601"/>
    <w:rsid w:val="00552959"/>
    <w:rsid w:val="00554B64"/>
    <w:rsid w:val="00556B48"/>
    <w:rsid w:val="00557357"/>
    <w:rsid w:val="00562833"/>
    <w:rsid w:val="0056767A"/>
    <w:rsid w:val="00567783"/>
    <w:rsid w:val="00571764"/>
    <w:rsid w:val="005733FB"/>
    <w:rsid w:val="0057402D"/>
    <w:rsid w:val="0057586A"/>
    <w:rsid w:val="0058269C"/>
    <w:rsid w:val="00587B72"/>
    <w:rsid w:val="00591717"/>
    <w:rsid w:val="00592DAA"/>
    <w:rsid w:val="00593445"/>
    <w:rsid w:val="00593634"/>
    <w:rsid w:val="0059454C"/>
    <w:rsid w:val="00595161"/>
    <w:rsid w:val="00596649"/>
    <w:rsid w:val="005974A3"/>
    <w:rsid w:val="005A2A90"/>
    <w:rsid w:val="005A3897"/>
    <w:rsid w:val="005A3DA4"/>
    <w:rsid w:val="005B06CA"/>
    <w:rsid w:val="005B2978"/>
    <w:rsid w:val="005B43C3"/>
    <w:rsid w:val="005B523C"/>
    <w:rsid w:val="005B5B39"/>
    <w:rsid w:val="005B7430"/>
    <w:rsid w:val="005C5BF6"/>
    <w:rsid w:val="005D7225"/>
    <w:rsid w:val="005E1D36"/>
    <w:rsid w:val="005E2060"/>
    <w:rsid w:val="005E45AA"/>
    <w:rsid w:val="005E4648"/>
    <w:rsid w:val="005E4796"/>
    <w:rsid w:val="005E7C62"/>
    <w:rsid w:val="005F0BCF"/>
    <w:rsid w:val="005F0FB1"/>
    <w:rsid w:val="005F37D5"/>
    <w:rsid w:val="005F423E"/>
    <w:rsid w:val="005F4722"/>
    <w:rsid w:val="0060013E"/>
    <w:rsid w:val="00601685"/>
    <w:rsid w:val="00603F08"/>
    <w:rsid w:val="00606DB6"/>
    <w:rsid w:val="00610E8F"/>
    <w:rsid w:val="00611A25"/>
    <w:rsid w:val="006232B4"/>
    <w:rsid w:val="00634DDB"/>
    <w:rsid w:val="006407B4"/>
    <w:rsid w:val="006422D3"/>
    <w:rsid w:val="0064335A"/>
    <w:rsid w:val="00645CCE"/>
    <w:rsid w:val="00646A80"/>
    <w:rsid w:val="006475EE"/>
    <w:rsid w:val="0066346A"/>
    <w:rsid w:val="006679ED"/>
    <w:rsid w:val="00670D46"/>
    <w:rsid w:val="00672CA4"/>
    <w:rsid w:val="00674A8D"/>
    <w:rsid w:val="00677DF2"/>
    <w:rsid w:val="0068044A"/>
    <w:rsid w:val="00680580"/>
    <w:rsid w:val="006825D7"/>
    <w:rsid w:val="00682D9E"/>
    <w:rsid w:val="00684A0B"/>
    <w:rsid w:val="00685BFA"/>
    <w:rsid w:val="0069024C"/>
    <w:rsid w:val="00692AA5"/>
    <w:rsid w:val="00692C10"/>
    <w:rsid w:val="006A0073"/>
    <w:rsid w:val="006A110F"/>
    <w:rsid w:val="006A48E2"/>
    <w:rsid w:val="006A65D2"/>
    <w:rsid w:val="006A6EFD"/>
    <w:rsid w:val="006B3841"/>
    <w:rsid w:val="006C2BB1"/>
    <w:rsid w:val="006C4242"/>
    <w:rsid w:val="006C6102"/>
    <w:rsid w:val="006C6B44"/>
    <w:rsid w:val="006D05ED"/>
    <w:rsid w:val="006D2187"/>
    <w:rsid w:val="006D4131"/>
    <w:rsid w:val="006D505D"/>
    <w:rsid w:val="006D7AB7"/>
    <w:rsid w:val="006F112D"/>
    <w:rsid w:val="006F618F"/>
    <w:rsid w:val="006F7A9C"/>
    <w:rsid w:val="0071160C"/>
    <w:rsid w:val="00714F8B"/>
    <w:rsid w:val="00715BAE"/>
    <w:rsid w:val="0071725A"/>
    <w:rsid w:val="00720262"/>
    <w:rsid w:val="00722FE5"/>
    <w:rsid w:val="00724FF2"/>
    <w:rsid w:val="00726F0C"/>
    <w:rsid w:val="00727E66"/>
    <w:rsid w:val="007317C1"/>
    <w:rsid w:val="00731B1C"/>
    <w:rsid w:val="00733568"/>
    <w:rsid w:val="00737DBC"/>
    <w:rsid w:val="0074121C"/>
    <w:rsid w:val="00744298"/>
    <w:rsid w:val="00746CF1"/>
    <w:rsid w:val="007550C9"/>
    <w:rsid w:val="00756EBB"/>
    <w:rsid w:val="0075724A"/>
    <w:rsid w:val="007604FE"/>
    <w:rsid w:val="00761915"/>
    <w:rsid w:val="0076472A"/>
    <w:rsid w:val="00776F5A"/>
    <w:rsid w:val="00782B8C"/>
    <w:rsid w:val="00783F1D"/>
    <w:rsid w:val="0078668B"/>
    <w:rsid w:val="0078703A"/>
    <w:rsid w:val="00787543"/>
    <w:rsid w:val="007900E1"/>
    <w:rsid w:val="0079141F"/>
    <w:rsid w:val="007914FA"/>
    <w:rsid w:val="0079669F"/>
    <w:rsid w:val="007A05B4"/>
    <w:rsid w:val="007A1947"/>
    <w:rsid w:val="007A4EF2"/>
    <w:rsid w:val="007A5F22"/>
    <w:rsid w:val="007A666E"/>
    <w:rsid w:val="007B23DD"/>
    <w:rsid w:val="007C2AAE"/>
    <w:rsid w:val="007D78B3"/>
    <w:rsid w:val="007E1FA3"/>
    <w:rsid w:val="007E2674"/>
    <w:rsid w:val="007E2B6A"/>
    <w:rsid w:val="007E378E"/>
    <w:rsid w:val="007E4B18"/>
    <w:rsid w:val="007F2AA5"/>
    <w:rsid w:val="00801290"/>
    <w:rsid w:val="00803A5D"/>
    <w:rsid w:val="0081A984"/>
    <w:rsid w:val="00820DA6"/>
    <w:rsid w:val="00825D72"/>
    <w:rsid w:val="00826752"/>
    <w:rsid w:val="008300EB"/>
    <w:rsid w:val="008304B4"/>
    <w:rsid w:val="008305A5"/>
    <w:rsid w:val="00830CC2"/>
    <w:rsid w:val="00832573"/>
    <w:rsid w:val="00832947"/>
    <w:rsid w:val="00833777"/>
    <w:rsid w:val="008348D2"/>
    <w:rsid w:val="0083526A"/>
    <w:rsid w:val="0083535F"/>
    <w:rsid w:val="00840911"/>
    <w:rsid w:val="008417BB"/>
    <w:rsid w:val="00843526"/>
    <w:rsid w:val="00851E0F"/>
    <w:rsid w:val="008527C6"/>
    <w:rsid w:val="008542F3"/>
    <w:rsid w:val="008554D8"/>
    <w:rsid w:val="0085571B"/>
    <w:rsid w:val="00866446"/>
    <w:rsid w:val="00866E10"/>
    <w:rsid w:val="00870B8D"/>
    <w:rsid w:val="00874B2A"/>
    <w:rsid w:val="0087539E"/>
    <w:rsid w:val="00876ADB"/>
    <w:rsid w:val="00877330"/>
    <w:rsid w:val="00877829"/>
    <w:rsid w:val="00877AD1"/>
    <w:rsid w:val="00880EAB"/>
    <w:rsid w:val="00882E13"/>
    <w:rsid w:val="0089037F"/>
    <w:rsid w:val="008903E2"/>
    <w:rsid w:val="008A25E0"/>
    <w:rsid w:val="008A3AC3"/>
    <w:rsid w:val="008A3C3B"/>
    <w:rsid w:val="008A53AE"/>
    <w:rsid w:val="008A7175"/>
    <w:rsid w:val="008B37E6"/>
    <w:rsid w:val="008B5188"/>
    <w:rsid w:val="008B7470"/>
    <w:rsid w:val="008C170A"/>
    <w:rsid w:val="008C2B53"/>
    <w:rsid w:val="008C2FF7"/>
    <w:rsid w:val="008C4169"/>
    <w:rsid w:val="008C570C"/>
    <w:rsid w:val="008C6DBA"/>
    <w:rsid w:val="008CAAD8"/>
    <w:rsid w:val="008D5CE2"/>
    <w:rsid w:val="008E4B88"/>
    <w:rsid w:val="009016FE"/>
    <w:rsid w:val="00904E8E"/>
    <w:rsid w:val="009126B4"/>
    <w:rsid w:val="009145CB"/>
    <w:rsid w:val="00920A71"/>
    <w:rsid w:val="009210B5"/>
    <w:rsid w:val="00922559"/>
    <w:rsid w:val="00923A9D"/>
    <w:rsid w:val="0093163D"/>
    <w:rsid w:val="00933DD0"/>
    <w:rsid w:val="009350DC"/>
    <w:rsid w:val="00940075"/>
    <w:rsid w:val="0094034E"/>
    <w:rsid w:val="00940DE2"/>
    <w:rsid w:val="00943086"/>
    <w:rsid w:val="00944AAB"/>
    <w:rsid w:val="00944C3D"/>
    <w:rsid w:val="00950848"/>
    <w:rsid w:val="00950B1F"/>
    <w:rsid w:val="00950D1F"/>
    <w:rsid w:val="00953A31"/>
    <w:rsid w:val="009569DA"/>
    <w:rsid w:val="009617E5"/>
    <w:rsid w:val="00963D21"/>
    <w:rsid w:val="009647E3"/>
    <w:rsid w:val="009659D1"/>
    <w:rsid w:val="00966144"/>
    <w:rsid w:val="009703CB"/>
    <w:rsid w:val="00971EAB"/>
    <w:rsid w:val="00980283"/>
    <w:rsid w:val="0098325C"/>
    <w:rsid w:val="00984216"/>
    <w:rsid w:val="00985067"/>
    <w:rsid w:val="00995089"/>
    <w:rsid w:val="009B23EA"/>
    <w:rsid w:val="009B38B1"/>
    <w:rsid w:val="009B4C75"/>
    <w:rsid w:val="009B67AC"/>
    <w:rsid w:val="009B76A1"/>
    <w:rsid w:val="009B7C66"/>
    <w:rsid w:val="009C0A4C"/>
    <w:rsid w:val="009C22E6"/>
    <w:rsid w:val="009C7C8F"/>
    <w:rsid w:val="009D25EE"/>
    <w:rsid w:val="009D4969"/>
    <w:rsid w:val="009E05B6"/>
    <w:rsid w:val="009E29C8"/>
    <w:rsid w:val="009E46C6"/>
    <w:rsid w:val="009F0A10"/>
    <w:rsid w:val="009F1A2A"/>
    <w:rsid w:val="009F5FEB"/>
    <w:rsid w:val="009F7B8F"/>
    <w:rsid w:val="00A03C18"/>
    <w:rsid w:val="00A0428C"/>
    <w:rsid w:val="00A04680"/>
    <w:rsid w:val="00A07250"/>
    <w:rsid w:val="00A10DA4"/>
    <w:rsid w:val="00A11240"/>
    <w:rsid w:val="00A1318A"/>
    <w:rsid w:val="00A13BA1"/>
    <w:rsid w:val="00A315FC"/>
    <w:rsid w:val="00A411A9"/>
    <w:rsid w:val="00A44B14"/>
    <w:rsid w:val="00A44FE3"/>
    <w:rsid w:val="00A45FDA"/>
    <w:rsid w:val="00A464B4"/>
    <w:rsid w:val="00A52E4A"/>
    <w:rsid w:val="00A53768"/>
    <w:rsid w:val="00A56386"/>
    <w:rsid w:val="00A57047"/>
    <w:rsid w:val="00A57C83"/>
    <w:rsid w:val="00A601EE"/>
    <w:rsid w:val="00A6037F"/>
    <w:rsid w:val="00A643E0"/>
    <w:rsid w:val="00A661EC"/>
    <w:rsid w:val="00A665F6"/>
    <w:rsid w:val="00A66958"/>
    <w:rsid w:val="00A66D25"/>
    <w:rsid w:val="00A702AE"/>
    <w:rsid w:val="00A725A9"/>
    <w:rsid w:val="00A831E4"/>
    <w:rsid w:val="00A83C6B"/>
    <w:rsid w:val="00A855B6"/>
    <w:rsid w:val="00A85DB0"/>
    <w:rsid w:val="00A914CB"/>
    <w:rsid w:val="00A92D8C"/>
    <w:rsid w:val="00A93C7C"/>
    <w:rsid w:val="00AB1C8E"/>
    <w:rsid w:val="00AB4CC1"/>
    <w:rsid w:val="00AC1D31"/>
    <w:rsid w:val="00AC4B03"/>
    <w:rsid w:val="00AC4CE8"/>
    <w:rsid w:val="00AD0189"/>
    <w:rsid w:val="00AD0C7C"/>
    <w:rsid w:val="00AD30C2"/>
    <w:rsid w:val="00AD403A"/>
    <w:rsid w:val="00AD674E"/>
    <w:rsid w:val="00AE268A"/>
    <w:rsid w:val="00AE294A"/>
    <w:rsid w:val="00AE4761"/>
    <w:rsid w:val="00AE7421"/>
    <w:rsid w:val="00AE7A8F"/>
    <w:rsid w:val="00AF0493"/>
    <w:rsid w:val="00B0241C"/>
    <w:rsid w:val="00B03848"/>
    <w:rsid w:val="00B03B74"/>
    <w:rsid w:val="00B1154F"/>
    <w:rsid w:val="00B17685"/>
    <w:rsid w:val="00B208E3"/>
    <w:rsid w:val="00B21862"/>
    <w:rsid w:val="00B23C49"/>
    <w:rsid w:val="00B24123"/>
    <w:rsid w:val="00B26A5C"/>
    <w:rsid w:val="00B3331A"/>
    <w:rsid w:val="00B35748"/>
    <w:rsid w:val="00B3BD08"/>
    <w:rsid w:val="00B402A9"/>
    <w:rsid w:val="00B41998"/>
    <w:rsid w:val="00B43B7E"/>
    <w:rsid w:val="00B4509C"/>
    <w:rsid w:val="00B4653B"/>
    <w:rsid w:val="00B47771"/>
    <w:rsid w:val="00B47CA5"/>
    <w:rsid w:val="00B507A1"/>
    <w:rsid w:val="00B510B2"/>
    <w:rsid w:val="00B51469"/>
    <w:rsid w:val="00B5188F"/>
    <w:rsid w:val="00B5C5FC"/>
    <w:rsid w:val="00B657EF"/>
    <w:rsid w:val="00B75473"/>
    <w:rsid w:val="00B75E61"/>
    <w:rsid w:val="00B76750"/>
    <w:rsid w:val="00B77333"/>
    <w:rsid w:val="00B77CF6"/>
    <w:rsid w:val="00B820DA"/>
    <w:rsid w:val="00B82B3D"/>
    <w:rsid w:val="00B84F7B"/>
    <w:rsid w:val="00B9162D"/>
    <w:rsid w:val="00B91DF4"/>
    <w:rsid w:val="00B92687"/>
    <w:rsid w:val="00B930B0"/>
    <w:rsid w:val="00B95AC1"/>
    <w:rsid w:val="00BA0E74"/>
    <w:rsid w:val="00BA483E"/>
    <w:rsid w:val="00BA6631"/>
    <w:rsid w:val="00BA72B0"/>
    <w:rsid w:val="00BA7930"/>
    <w:rsid w:val="00BB499E"/>
    <w:rsid w:val="00BC537C"/>
    <w:rsid w:val="00BD787F"/>
    <w:rsid w:val="00BE054A"/>
    <w:rsid w:val="00BE2CF0"/>
    <w:rsid w:val="00BF033B"/>
    <w:rsid w:val="00BF1879"/>
    <w:rsid w:val="00BF5B74"/>
    <w:rsid w:val="00BF5C2B"/>
    <w:rsid w:val="00BF6741"/>
    <w:rsid w:val="00BF6761"/>
    <w:rsid w:val="00BF6D11"/>
    <w:rsid w:val="00C062F6"/>
    <w:rsid w:val="00C0757F"/>
    <w:rsid w:val="00C10EE7"/>
    <w:rsid w:val="00C147F6"/>
    <w:rsid w:val="00C15E76"/>
    <w:rsid w:val="00C17225"/>
    <w:rsid w:val="00C17405"/>
    <w:rsid w:val="00C1741E"/>
    <w:rsid w:val="00C20C42"/>
    <w:rsid w:val="00C22CFC"/>
    <w:rsid w:val="00C25C2C"/>
    <w:rsid w:val="00C326EB"/>
    <w:rsid w:val="00C3434B"/>
    <w:rsid w:val="00C35FBE"/>
    <w:rsid w:val="00C36C3C"/>
    <w:rsid w:val="00C37321"/>
    <w:rsid w:val="00C46150"/>
    <w:rsid w:val="00C52D17"/>
    <w:rsid w:val="00C55A32"/>
    <w:rsid w:val="00C60A26"/>
    <w:rsid w:val="00C638A5"/>
    <w:rsid w:val="00C66593"/>
    <w:rsid w:val="00C67696"/>
    <w:rsid w:val="00C704BC"/>
    <w:rsid w:val="00C71539"/>
    <w:rsid w:val="00C73DFB"/>
    <w:rsid w:val="00C74AC0"/>
    <w:rsid w:val="00C805CA"/>
    <w:rsid w:val="00C815C3"/>
    <w:rsid w:val="00C81859"/>
    <w:rsid w:val="00C83FB6"/>
    <w:rsid w:val="00C86FA9"/>
    <w:rsid w:val="00C92332"/>
    <w:rsid w:val="00C9340C"/>
    <w:rsid w:val="00C957B2"/>
    <w:rsid w:val="00C96CEF"/>
    <w:rsid w:val="00CA0BD4"/>
    <w:rsid w:val="00CA1956"/>
    <w:rsid w:val="00CA4EBF"/>
    <w:rsid w:val="00CB1C48"/>
    <w:rsid w:val="00CB3426"/>
    <w:rsid w:val="00CB4AF5"/>
    <w:rsid w:val="00CB53A2"/>
    <w:rsid w:val="00CB5401"/>
    <w:rsid w:val="00CB545B"/>
    <w:rsid w:val="00CB7D0A"/>
    <w:rsid w:val="00CC11C0"/>
    <w:rsid w:val="00CC1D5B"/>
    <w:rsid w:val="00CC2EEC"/>
    <w:rsid w:val="00CC2FBB"/>
    <w:rsid w:val="00CD069E"/>
    <w:rsid w:val="00CD0E04"/>
    <w:rsid w:val="00CD1BD0"/>
    <w:rsid w:val="00CD591A"/>
    <w:rsid w:val="00CD6517"/>
    <w:rsid w:val="00CE2067"/>
    <w:rsid w:val="00CE35E1"/>
    <w:rsid w:val="00CE698B"/>
    <w:rsid w:val="00CE6E74"/>
    <w:rsid w:val="00CE7402"/>
    <w:rsid w:val="00CF0E02"/>
    <w:rsid w:val="00CF10E9"/>
    <w:rsid w:val="00CF1AD2"/>
    <w:rsid w:val="00CF5CFC"/>
    <w:rsid w:val="00D03BF9"/>
    <w:rsid w:val="00D06BE0"/>
    <w:rsid w:val="00D10AC7"/>
    <w:rsid w:val="00D118E2"/>
    <w:rsid w:val="00D14CF9"/>
    <w:rsid w:val="00D15477"/>
    <w:rsid w:val="00D16198"/>
    <w:rsid w:val="00D166DC"/>
    <w:rsid w:val="00D16D83"/>
    <w:rsid w:val="00D209C9"/>
    <w:rsid w:val="00D218F8"/>
    <w:rsid w:val="00D21BCC"/>
    <w:rsid w:val="00D2323A"/>
    <w:rsid w:val="00D2733F"/>
    <w:rsid w:val="00D3393C"/>
    <w:rsid w:val="00D3541C"/>
    <w:rsid w:val="00D36A3A"/>
    <w:rsid w:val="00D41569"/>
    <w:rsid w:val="00D44636"/>
    <w:rsid w:val="00D4544E"/>
    <w:rsid w:val="00D471FA"/>
    <w:rsid w:val="00D51839"/>
    <w:rsid w:val="00D52602"/>
    <w:rsid w:val="00D5354B"/>
    <w:rsid w:val="00D665FB"/>
    <w:rsid w:val="00D7183B"/>
    <w:rsid w:val="00D7382C"/>
    <w:rsid w:val="00D741C3"/>
    <w:rsid w:val="00D742C8"/>
    <w:rsid w:val="00D76CBF"/>
    <w:rsid w:val="00D811E0"/>
    <w:rsid w:val="00D81727"/>
    <w:rsid w:val="00D82327"/>
    <w:rsid w:val="00D82AE8"/>
    <w:rsid w:val="00D837DD"/>
    <w:rsid w:val="00D90AD3"/>
    <w:rsid w:val="00D93788"/>
    <w:rsid w:val="00D93C68"/>
    <w:rsid w:val="00D97E41"/>
    <w:rsid w:val="00DA0731"/>
    <w:rsid w:val="00DA33CA"/>
    <w:rsid w:val="00DA5827"/>
    <w:rsid w:val="00DA7918"/>
    <w:rsid w:val="00DB0363"/>
    <w:rsid w:val="00DB1453"/>
    <w:rsid w:val="00DB1535"/>
    <w:rsid w:val="00DB1602"/>
    <w:rsid w:val="00DB1A32"/>
    <w:rsid w:val="00DB363A"/>
    <w:rsid w:val="00DB6DF1"/>
    <w:rsid w:val="00DB6EDE"/>
    <w:rsid w:val="00DB7009"/>
    <w:rsid w:val="00DB773C"/>
    <w:rsid w:val="00DC21B4"/>
    <w:rsid w:val="00DC4464"/>
    <w:rsid w:val="00DD0AC0"/>
    <w:rsid w:val="00DD21C7"/>
    <w:rsid w:val="00DD2748"/>
    <w:rsid w:val="00DD5DF6"/>
    <w:rsid w:val="00DD7B6F"/>
    <w:rsid w:val="00DE459E"/>
    <w:rsid w:val="00DE4EBA"/>
    <w:rsid w:val="00DE6385"/>
    <w:rsid w:val="00DF098F"/>
    <w:rsid w:val="00DF1DF0"/>
    <w:rsid w:val="00DF4C0C"/>
    <w:rsid w:val="00E01271"/>
    <w:rsid w:val="00E0183C"/>
    <w:rsid w:val="00E11DD5"/>
    <w:rsid w:val="00E11FA4"/>
    <w:rsid w:val="00E12A0D"/>
    <w:rsid w:val="00E13068"/>
    <w:rsid w:val="00E153F5"/>
    <w:rsid w:val="00E15E69"/>
    <w:rsid w:val="00E163C8"/>
    <w:rsid w:val="00E22368"/>
    <w:rsid w:val="00E3042F"/>
    <w:rsid w:val="00E30A38"/>
    <w:rsid w:val="00E318A9"/>
    <w:rsid w:val="00E32108"/>
    <w:rsid w:val="00E326BA"/>
    <w:rsid w:val="00E33ED1"/>
    <w:rsid w:val="00E34CD5"/>
    <w:rsid w:val="00E368A7"/>
    <w:rsid w:val="00E37ED2"/>
    <w:rsid w:val="00E41AFF"/>
    <w:rsid w:val="00E41C8B"/>
    <w:rsid w:val="00E43E76"/>
    <w:rsid w:val="00E4609C"/>
    <w:rsid w:val="00E46EC2"/>
    <w:rsid w:val="00E4F6B5"/>
    <w:rsid w:val="00E52B8B"/>
    <w:rsid w:val="00E535A4"/>
    <w:rsid w:val="00E53D1D"/>
    <w:rsid w:val="00E56B53"/>
    <w:rsid w:val="00E593DA"/>
    <w:rsid w:val="00E63D05"/>
    <w:rsid w:val="00E70AB7"/>
    <w:rsid w:val="00E71545"/>
    <w:rsid w:val="00E7205C"/>
    <w:rsid w:val="00E7373F"/>
    <w:rsid w:val="00E73F4E"/>
    <w:rsid w:val="00E778C4"/>
    <w:rsid w:val="00E800E7"/>
    <w:rsid w:val="00E80402"/>
    <w:rsid w:val="00E83923"/>
    <w:rsid w:val="00E84908"/>
    <w:rsid w:val="00E91A56"/>
    <w:rsid w:val="00E92BE6"/>
    <w:rsid w:val="00E94E31"/>
    <w:rsid w:val="00E962B1"/>
    <w:rsid w:val="00EA1941"/>
    <w:rsid w:val="00EA22F7"/>
    <w:rsid w:val="00EA36A2"/>
    <w:rsid w:val="00EA4C22"/>
    <w:rsid w:val="00EA66C8"/>
    <w:rsid w:val="00EB53C0"/>
    <w:rsid w:val="00EBBB34"/>
    <w:rsid w:val="00EC1FDD"/>
    <w:rsid w:val="00EC6A9E"/>
    <w:rsid w:val="00EC745A"/>
    <w:rsid w:val="00EE3389"/>
    <w:rsid w:val="00EE4303"/>
    <w:rsid w:val="00EE4E0F"/>
    <w:rsid w:val="00EE5EB6"/>
    <w:rsid w:val="00EF05B2"/>
    <w:rsid w:val="00EF32C1"/>
    <w:rsid w:val="00EF33D2"/>
    <w:rsid w:val="00EF4DE9"/>
    <w:rsid w:val="00EF6AAA"/>
    <w:rsid w:val="00F00E99"/>
    <w:rsid w:val="00F0140B"/>
    <w:rsid w:val="00F03135"/>
    <w:rsid w:val="00F0334F"/>
    <w:rsid w:val="00F06051"/>
    <w:rsid w:val="00F077AD"/>
    <w:rsid w:val="00F07ABC"/>
    <w:rsid w:val="00F17B7E"/>
    <w:rsid w:val="00F23142"/>
    <w:rsid w:val="00F285D2"/>
    <w:rsid w:val="00F32646"/>
    <w:rsid w:val="00F34223"/>
    <w:rsid w:val="00F3484E"/>
    <w:rsid w:val="00F36320"/>
    <w:rsid w:val="00F409F4"/>
    <w:rsid w:val="00F42EC8"/>
    <w:rsid w:val="00F459EE"/>
    <w:rsid w:val="00F462F5"/>
    <w:rsid w:val="00F4DB47"/>
    <w:rsid w:val="00F5170A"/>
    <w:rsid w:val="00F5322A"/>
    <w:rsid w:val="00F54D34"/>
    <w:rsid w:val="00F568C2"/>
    <w:rsid w:val="00F568E9"/>
    <w:rsid w:val="00F570B3"/>
    <w:rsid w:val="00F57833"/>
    <w:rsid w:val="00F6135B"/>
    <w:rsid w:val="00F6163B"/>
    <w:rsid w:val="00F6290A"/>
    <w:rsid w:val="00F65097"/>
    <w:rsid w:val="00F67B40"/>
    <w:rsid w:val="00F70E03"/>
    <w:rsid w:val="00F70F25"/>
    <w:rsid w:val="00F715E3"/>
    <w:rsid w:val="00F71FAA"/>
    <w:rsid w:val="00F72E35"/>
    <w:rsid w:val="00F75DEB"/>
    <w:rsid w:val="00F7694C"/>
    <w:rsid w:val="00F76BB4"/>
    <w:rsid w:val="00F84458"/>
    <w:rsid w:val="00F93C67"/>
    <w:rsid w:val="00F944B0"/>
    <w:rsid w:val="00F964A4"/>
    <w:rsid w:val="00F97327"/>
    <w:rsid w:val="00FA1AD2"/>
    <w:rsid w:val="00FA7133"/>
    <w:rsid w:val="00FA7636"/>
    <w:rsid w:val="00FB1809"/>
    <w:rsid w:val="00FB4F82"/>
    <w:rsid w:val="00FB6BAB"/>
    <w:rsid w:val="00FB7FAF"/>
    <w:rsid w:val="00FC3DEC"/>
    <w:rsid w:val="00FC678E"/>
    <w:rsid w:val="00FD10EF"/>
    <w:rsid w:val="00FD521B"/>
    <w:rsid w:val="00FD74E7"/>
    <w:rsid w:val="00FE085F"/>
    <w:rsid w:val="00FE1DB3"/>
    <w:rsid w:val="00FE4E10"/>
    <w:rsid w:val="00FF1231"/>
    <w:rsid w:val="00FF2360"/>
    <w:rsid w:val="00FF5263"/>
    <w:rsid w:val="00FF64AC"/>
    <w:rsid w:val="013988DD"/>
    <w:rsid w:val="013BFB03"/>
    <w:rsid w:val="016C5FE3"/>
    <w:rsid w:val="0174853D"/>
    <w:rsid w:val="01775E2C"/>
    <w:rsid w:val="018A52F2"/>
    <w:rsid w:val="018A6BEB"/>
    <w:rsid w:val="018E41F9"/>
    <w:rsid w:val="019923A5"/>
    <w:rsid w:val="01AA3B14"/>
    <w:rsid w:val="01AC487E"/>
    <w:rsid w:val="01F3881C"/>
    <w:rsid w:val="021E8EC7"/>
    <w:rsid w:val="0236ED39"/>
    <w:rsid w:val="023F6FEC"/>
    <w:rsid w:val="02459E73"/>
    <w:rsid w:val="025342BB"/>
    <w:rsid w:val="027E2F5D"/>
    <w:rsid w:val="0293306C"/>
    <w:rsid w:val="02C418DB"/>
    <w:rsid w:val="02ED53A9"/>
    <w:rsid w:val="02F013A2"/>
    <w:rsid w:val="03153625"/>
    <w:rsid w:val="031A3AD7"/>
    <w:rsid w:val="034E7481"/>
    <w:rsid w:val="03766015"/>
    <w:rsid w:val="0390EA31"/>
    <w:rsid w:val="03A6EF66"/>
    <w:rsid w:val="03BF57D5"/>
    <w:rsid w:val="03C1F6AA"/>
    <w:rsid w:val="03C8B41D"/>
    <w:rsid w:val="03CC9D9A"/>
    <w:rsid w:val="03D42AFA"/>
    <w:rsid w:val="03E69CEB"/>
    <w:rsid w:val="03E72596"/>
    <w:rsid w:val="03F1EEFA"/>
    <w:rsid w:val="04022CB7"/>
    <w:rsid w:val="041E46D9"/>
    <w:rsid w:val="0441BA60"/>
    <w:rsid w:val="0469F3DB"/>
    <w:rsid w:val="04C8EF4B"/>
    <w:rsid w:val="04D1CEE8"/>
    <w:rsid w:val="04D54E2D"/>
    <w:rsid w:val="04DF28D7"/>
    <w:rsid w:val="04E6E3C4"/>
    <w:rsid w:val="0554E483"/>
    <w:rsid w:val="056E7B88"/>
    <w:rsid w:val="0598097B"/>
    <w:rsid w:val="05A412CA"/>
    <w:rsid w:val="05D6372A"/>
    <w:rsid w:val="05EFD41C"/>
    <w:rsid w:val="05F01AC1"/>
    <w:rsid w:val="0602D618"/>
    <w:rsid w:val="0604104F"/>
    <w:rsid w:val="0647FD6F"/>
    <w:rsid w:val="0652B791"/>
    <w:rsid w:val="065DCFDD"/>
    <w:rsid w:val="0667C8B7"/>
    <w:rsid w:val="06735ECB"/>
    <w:rsid w:val="0677875A"/>
    <w:rsid w:val="0686C417"/>
    <w:rsid w:val="069944FB"/>
    <w:rsid w:val="06E9CF61"/>
    <w:rsid w:val="07010AFA"/>
    <w:rsid w:val="0714154B"/>
    <w:rsid w:val="07440E4C"/>
    <w:rsid w:val="074ED156"/>
    <w:rsid w:val="07596B52"/>
    <w:rsid w:val="075B3229"/>
    <w:rsid w:val="0798615E"/>
    <w:rsid w:val="07BD599C"/>
    <w:rsid w:val="07D271D1"/>
    <w:rsid w:val="07DEBF2C"/>
    <w:rsid w:val="07E8086B"/>
    <w:rsid w:val="08345A50"/>
    <w:rsid w:val="0849D138"/>
    <w:rsid w:val="08552D99"/>
    <w:rsid w:val="086420A4"/>
    <w:rsid w:val="08653C00"/>
    <w:rsid w:val="086A7A0A"/>
    <w:rsid w:val="086C8D4F"/>
    <w:rsid w:val="0871D7CC"/>
    <w:rsid w:val="088398FA"/>
    <w:rsid w:val="08910732"/>
    <w:rsid w:val="089A70AD"/>
    <w:rsid w:val="089C8872"/>
    <w:rsid w:val="08A68DAE"/>
    <w:rsid w:val="08B30F88"/>
    <w:rsid w:val="08B4A929"/>
    <w:rsid w:val="08B92E40"/>
    <w:rsid w:val="08C2843F"/>
    <w:rsid w:val="08D1FEE5"/>
    <w:rsid w:val="08D4883C"/>
    <w:rsid w:val="0906FEF5"/>
    <w:rsid w:val="090C9FC1"/>
    <w:rsid w:val="090DFF56"/>
    <w:rsid w:val="091CD6B9"/>
    <w:rsid w:val="092176AD"/>
    <w:rsid w:val="09521161"/>
    <w:rsid w:val="0963E409"/>
    <w:rsid w:val="0965BB71"/>
    <w:rsid w:val="098FC36C"/>
    <w:rsid w:val="09925EAE"/>
    <w:rsid w:val="099F4FBF"/>
    <w:rsid w:val="09AB1AF6"/>
    <w:rsid w:val="09AE59AC"/>
    <w:rsid w:val="09B65C7A"/>
    <w:rsid w:val="09E94818"/>
    <w:rsid w:val="0A16D2B3"/>
    <w:rsid w:val="0A2581CE"/>
    <w:rsid w:val="0A3C8090"/>
    <w:rsid w:val="0A4FE5FC"/>
    <w:rsid w:val="0A7ED36D"/>
    <w:rsid w:val="0A962073"/>
    <w:rsid w:val="0AD99444"/>
    <w:rsid w:val="0AE04B90"/>
    <w:rsid w:val="0B0FB7C1"/>
    <w:rsid w:val="0B387D6A"/>
    <w:rsid w:val="0B4749CC"/>
    <w:rsid w:val="0B474B12"/>
    <w:rsid w:val="0B52C128"/>
    <w:rsid w:val="0B5831CA"/>
    <w:rsid w:val="0B6C84E4"/>
    <w:rsid w:val="0B85749B"/>
    <w:rsid w:val="0B94A15F"/>
    <w:rsid w:val="0B992BC6"/>
    <w:rsid w:val="0BAE49F7"/>
    <w:rsid w:val="0BD1F61A"/>
    <w:rsid w:val="0BFA2501"/>
    <w:rsid w:val="0C021F4D"/>
    <w:rsid w:val="0C0E2ED4"/>
    <w:rsid w:val="0C1CE0DB"/>
    <w:rsid w:val="0C286AD1"/>
    <w:rsid w:val="0C5208F5"/>
    <w:rsid w:val="0C6CD37E"/>
    <w:rsid w:val="0C78CB3C"/>
    <w:rsid w:val="0CD8BF25"/>
    <w:rsid w:val="0CF95778"/>
    <w:rsid w:val="0CFD8FFC"/>
    <w:rsid w:val="0D0058E5"/>
    <w:rsid w:val="0D0DCA2F"/>
    <w:rsid w:val="0D326A7F"/>
    <w:rsid w:val="0D5CE0F1"/>
    <w:rsid w:val="0D6C35D5"/>
    <w:rsid w:val="0D7DC117"/>
    <w:rsid w:val="0D82B91C"/>
    <w:rsid w:val="0D95F562"/>
    <w:rsid w:val="0D96CE62"/>
    <w:rsid w:val="0DF540F4"/>
    <w:rsid w:val="0E16E064"/>
    <w:rsid w:val="0E4FD745"/>
    <w:rsid w:val="0E5085E0"/>
    <w:rsid w:val="0E6BF943"/>
    <w:rsid w:val="0E702D11"/>
    <w:rsid w:val="0E984980"/>
    <w:rsid w:val="0EA9B331"/>
    <w:rsid w:val="0EAC3B06"/>
    <w:rsid w:val="0EDFAF7F"/>
    <w:rsid w:val="0EE0F6CB"/>
    <w:rsid w:val="0EE46B36"/>
    <w:rsid w:val="0EE6E7C1"/>
    <w:rsid w:val="0F11FF18"/>
    <w:rsid w:val="0F16F3ED"/>
    <w:rsid w:val="0F189787"/>
    <w:rsid w:val="0F1A26B9"/>
    <w:rsid w:val="0F34C30D"/>
    <w:rsid w:val="0F5DFBD4"/>
    <w:rsid w:val="0F60CC1F"/>
    <w:rsid w:val="0F6FCCF2"/>
    <w:rsid w:val="0F7F78E6"/>
    <w:rsid w:val="0F976EC4"/>
    <w:rsid w:val="0FA84D7C"/>
    <w:rsid w:val="0FB9DB80"/>
    <w:rsid w:val="0FC0D2B1"/>
    <w:rsid w:val="0FC2D2FF"/>
    <w:rsid w:val="0FC3A28A"/>
    <w:rsid w:val="0FC6A17A"/>
    <w:rsid w:val="0FCAAF28"/>
    <w:rsid w:val="0FEACAE6"/>
    <w:rsid w:val="0FED09DA"/>
    <w:rsid w:val="0FF35D9E"/>
    <w:rsid w:val="0FFA1C3A"/>
    <w:rsid w:val="100757C5"/>
    <w:rsid w:val="1008D7C5"/>
    <w:rsid w:val="100F9BB0"/>
    <w:rsid w:val="101379BF"/>
    <w:rsid w:val="10204D8D"/>
    <w:rsid w:val="10331C95"/>
    <w:rsid w:val="10469EAC"/>
    <w:rsid w:val="105C7E58"/>
    <w:rsid w:val="1071DF57"/>
    <w:rsid w:val="107483DD"/>
    <w:rsid w:val="10CC2E11"/>
    <w:rsid w:val="10D0A46E"/>
    <w:rsid w:val="10DA7F18"/>
    <w:rsid w:val="10F14B20"/>
    <w:rsid w:val="1107D5ED"/>
    <w:rsid w:val="1178CB78"/>
    <w:rsid w:val="117E36A9"/>
    <w:rsid w:val="118612C2"/>
    <w:rsid w:val="11A30C16"/>
    <w:rsid w:val="11B93DE1"/>
    <w:rsid w:val="11C10DC7"/>
    <w:rsid w:val="125ADFBC"/>
    <w:rsid w:val="126D7E9F"/>
    <w:rsid w:val="12897DD6"/>
    <w:rsid w:val="1290A190"/>
    <w:rsid w:val="12AB30C0"/>
    <w:rsid w:val="12BBEEC4"/>
    <w:rsid w:val="12CADFFC"/>
    <w:rsid w:val="12CF058A"/>
    <w:rsid w:val="12E47671"/>
    <w:rsid w:val="12E9F294"/>
    <w:rsid w:val="1324C025"/>
    <w:rsid w:val="132FE117"/>
    <w:rsid w:val="13337F1C"/>
    <w:rsid w:val="133E1556"/>
    <w:rsid w:val="135384FD"/>
    <w:rsid w:val="13553BF2"/>
    <w:rsid w:val="135ABAAC"/>
    <w:rsid w:val="135D8ACF"/>
    <w:rsid w:val="136D4C22"/>
    <w:rsid w:val="13722A8C"/>
    <w:rsid w:val="13A7D43A"/>
    <w:rsid w:val="13BB573E"/>
    <w:rsid w:val="13BD901E"/>
    <w:rsid w:val="13D6ED6C"/>
    <w:rsid w:val="13E53583"/>
    <w:rsid w:val="13EF6599"/>
    <w:rsid w:val="143A58B4"/>
    <w:rsid w:val="143DE487"/>
    <w:rsid w:val="1446C060"/>
    <w:rsid w:val="146B1A5F"/>
    <w:rsid w:val="146C4E08"/>
    <w:rsid w:val="147B5E2B"/>
    <w:rsid w:val="149EC06E"/>
    <w:rsid w:val="14A3E0C1"/>
    <w:rsid w:val="14C326F5"/>
    <w:rsid w:val="14C76AE8"/>
    <w:rsid w:val="14ED2381"/>
    <w:rsid w:val="14F01A3C"/>
    <w:rsid w:val="150BB821"/>
    <w:rsid w:val="152E7432"/>
    <w:rsid w:val="153041C6"/>
    <w:rsid w:val="153120C9"/>
    <w:rsid w:val="154092C9"/>
    <w:rsid w:val="15548F61"/>
    <w:rsid w:val="15751BB5"/>
    <w:rsid w:val="1576E9A2"/>
    <w:rsid w:val="15809BC8"/>
    <w:rsid w:val="15CC4666"/>
    <w:rsid w:val="15CF68C1"/>
    <w:rsid w:val="15F8FCD0"/>
    <w:rsid w:val="15FB7322"/>
    <w:rsid w:val="15FE0F26"/>
    <w:rsid w:val="160D8380"/>
    <w:rsid w:val="160DE23D"/>
    <w:rsid w:val="161A7515"/>
    <w:rsid w:val="16457AC0"/>
    <w:rsid w:val="1655CFCB"/>
    <w:rsid w:val="166E977B"/>
    <w:rsid w:val="1673998A"/>
    <w:rsid w:val="169D2F60"/>
    <w:rsid w:val="16D35B44"/>
    <w:rsid w:val="17252E3B"/>
    <w:rsid w:val="173E541F"/>
    <w:rsid w:val="1754094D"/>
    <w:rsid w:val="175BDA65"/>
    <w:rsid w:val="176412B3"/>
    <w:rsid w:val="176A80B7"/>
    <w:rsid w:val="1791177C"/>
    <w:rsid w:val="17981FA3"/>
    <w:rsid w:val="179ECA40"/>
    <w:rsid w:val="17A57031"/>
    <w:rsid w:val="17BCCCE7"/>
    <w:rsid w:val="17D35C15"/>
    <w:rsid w:val="17D43F7A"/>
    <w:rsid w:val="17E5603F"/>
    <w:rsid w:val="18011BC1"/>
    <w:rsid w:val="180AED24"/>
    <w:rsid w:val="1825A50E"/>
    <w:rsid w:val="18458A09"/>
    <w:rsid w:val="185FAFB1"/>
    <w:rsid w:val="186C0938"/>
    <w:rsid w:val="1876AE7B"/>
    <w:rsid w:val="18CA7A96"/>
    <w:rsid w:val="18D2DF3D"/>
    <w:rsid w:val="18F1B724"/>
    <w:rsid w:val="18F326D9"/>
    <w:rsid w:val="190C1137"/>
    <w:rsid w:val="190C7D3F"/>
    <w:rsid w:val="191AFEA8"/>
    <w:rsid w:val="1930C02E"/>
    <w:rsid w:val="193AFCAD"/>
    <w:rsid w:val="1941BAE4"/>
    <w:rsid w:val="194AD1F2"/>
    <w:rsid w:val="195ACF3A"/>
    <w:rsid w:val="197D7317"/>
    <w:rsid w:val="1980A2AC"/>
    <w:rsid w:val="19832ADE"/>
    <w:rsid w:val="199D4C58"/>
    <w:rsid w:val="19C10EE2"/>
    <w:rsid w:val="19D5B8D5"/>
    <w:rsid w:val="19DD3FD4"/>
    <w:rsid w:val="19E0DFE5"/>
    <w:rsid w:val="1A1E48C3"/>
    <w:rsid w:val="1A2CF1C5"/>
    <w:rsid w:val="1A61FFD7"/>
    <w:rsid w:val="1A63EA08"/>
    <w:rsid w:val="1A72DEBA"/>
    <w:rsid w:val="1A8399C5"/>
    <w:rsid w:val="1A8602FB"/>
    <w:rsid w:val="1A958E76"/>
    <w:rsid w:val="1AAF96E7"/>
    <w:rsid w:val="1ADBCEB3"/>
    <w:rsid w:val="1AE3A701"/>
    <w:rsid w:val="1B0FA9E2"/>
    <w:rsid w:val="1B360C62"/>
    <w:rsid w:val="1B3CA9F9"/>
    <w:rsid w:val="1B72E53A"/>
    <w:rsid w:val="1B78B3FE"/>
    <w:rsid w:val="1B796798"/>
    <w:rsid w:val="1B7B18D1"/>
    <w:rsid w:val="1BB13791"/>
    <w:rsid w:val="1BB64D98"/>
    <w:rsid w:val="1BB6C3E1"/>
    <w:rsid w:val="1BDD2CF0"/>
    <w:rsid w:val="1BE19579"/>
    <w:rsid w:val="1C059758"/>
    <w:rsid w:val="1C06CEAC"/>
    <w:rsid w:val="1C1406DE"/>
    <w:rsid w:val="1C2288F6"/>
    <w:rsid w:val="1C413FFE"/>
    <w:rsid w:val="1C5123BF"/>
    <w:rsid w:val="1C5B09D7"/>
    <w:rsid w:val="1C6328B8"/>
    <w:rsid w:val="1C644084"/>
    <w:rsid w:val="1C9586D3"/>
    <w:rsid w:val="1C971EE6"/>
    <w:rsid w:val="1CAC1A15"/>
    <w:rsid w:val="1CDF712B"/>
    <w:rsid w:val="1D0E1B45"/>
    <w:rsid w:val="1D1B26EE"/>
    <w:rsid w:val="1D325B1A"/>
    <w:rsid w:val="1D60322F"/>
    <w:rsid w:val="1D647E2E"/>
    <w:rsid w:val="1D7193FD"/>
    <w:rsid w:val="1D76AC3F"/>
    <w:rsid w:val="1D79652D"/>
    <w:rsid w:val="1D974340"/>
    <w:rsid w:val="1DA09A8C"/>
    <w:rsid w:val="1DB2B06F"/>
    <w:rsid w:val="1DBBFEC1"/>
    <w:rsid w:val="1DBE8218"/>
    <w:rsid w:val="1DDF6CF1"/>
    <w:rsid w:val="1DEA3110"/>
    <w:rsid w:val="1E0BC820"/>
    <w:rsid w:val="1E0F2E5D"/>
    <w:rsid w:val="1E18F5E0"/>
    <w:rsid w:val="1E248766"/>
    <w:rsid w:val="1E458774"/>
    <w:rsid w:val="1E64CFEB"/>
    <w:rsid w:val="1E6C859F"/>
    <w:rsid w:val="1E98190D"/>
    <w:rsid w:val="1EA506BB"/>
    <w:rsid w:val="1EB77A73"/>
    <w:rsid w:val="1F0678D2"/>
    <w:rsid w:val="1F101711"/>
    <w:rsid w:val="1F1C9B10"/>
    <w:rsid w:val="1F2E554A"/>
    <w:rsid w:val="1F358C87"/>
    <w:rsid w:val="1F4E26B7"/>
    <w:rsid w:val="1F625FCC"/>
    <w:rsid w:val="1F63A152"/>
    <w:rsid w:val="1F64B92B"/>
    <w:rsid w:val="1F68CEE0"/>
    <w:rsid w:val="1F72127D"/>
    <w:rsid w:val="1F77121E"/>
    <w:rsid w:val="1F7F2B2C"/>
    <w:rsid w:val="1F9F0B20"/>
    <w:rsid w:val="1FA98C98"/>
    <w:rsid w:val="1FA9D11C"/>
    <w:rsid w:val="1FCB43CC"/>
    <w:rsid w:val="1FD35D0C"/>
    <w:rsid w:val="1FDFEDF4"/>
    <w:rsid w:val="20396B6E"/>
    <w:rsid w:val="206942F4"/>
    <w:rsid w:val="20745F7E"/>
    <w:rsid w:val="2099F80A"/>
    <w:rsid w:val="20BD304D"/>
    <w:rsid w:val="20EF19B8"/>
    <w:rsid w:val="210E5990"/>
    <w:rsid w:val="2137FE5A"/>
    <w:rsid w:val="2170254D"/>
    <w:rsid w:val="21A9BEDB"/>
    <w:rsid w:val="21D09CF1"/>
    <w:rsid w:val="21D381D5"/>
    <w:rsid w:val="21EA69AC"/>
    <w:rsid w:val="21FCF185"/>
    <w:rsid w:val="22060B15"/>
    <w:rsid w:val="226069B6"/>
    <w:rsid w:val="2262AAF7"/>
    <w:rsid w:val="22749556"/>
    <w:rsid w:val="22859F46"/>
    <w:rsid w:val="228DA01F"/>
    <w:rsid w:val="228E0E7F"/>
    <w:rsid w:val="229A1E0A"/>
    <w:rsid w:val="22A906CE"/>
    <w:rsid w:val="22C9AF52"/>
    <w:rsid w:val="22F48AE9"/>
    <w:rsid w:val="22FD71EE"/>
    <w:rsid w:val="23162BF7"/>
    <w:rsid w:val="232D0B87"/>
    <w:rsid w:val="2332161C"/>
    <w:rsid w:val="235509B4"/>
    <w:rsid w:val="235A24E5"/>
    <w:rsid w:val="235AE923"/>
    <w:rsid w:val="235FB6D3"/>
    <w:rsid w:val="2365AC36"/>
    <w:rsid w:val="236DDB64"/>
    <w:rsid w:val="2380664A"/>
    <w:rsid w:val="2386A817"/>
    <w:rsid w:val="23976919"/>
    <w:rsid w:val="239E9DFD"/>
    <w:rsid w:val="23B54873"/>
    <w:rsid w:val="23B7CCED"/>
    <w:rsid w:val="23D0F36A"/>
    <w:rsid w:val="23FB7CA5"/>
    <w:rsid w:val="244A8341"/>
    <w:rsid w:val="2460EEB2"/>
    <w:rsid w:val="24707D9B"/>
    <w:rsid w:val="2474BDA4"/>
    <w:rsid w:val="2480E5A5"/>
    <w:rsid w:val="2496CAA2"/>
    <w:rsid w:val="249721E6"/>
    <w:rsid w:val="249F29AA"/>
    <w:rsid w:val="24C368E5"/>
    <w:rsid w:val="24EF1435"/>
    <w:rsid w:val="25140B58"/>
    <w:rsid w:val="2532D427"/>
    <w:rsid w:val="254765A6"/>
    <w:rsid w:val="254F6AA6"/>
    <w:rsid w:val="256E79E1"/>
    <w:rsid w:val="256FAB0E"/>
    <w:rsid w:val="25793158"/>
    <w:rsid w:val="258D9B11"/>
    <w:rsid w:val="25AD4F61"/>
    <w:rsid w:val="25CEEFEE"/>
    <w:rsid w:val="25DEBB98"/>
    <w:rsid w:val="25E653A2"/>
    <w:rsid w:val="260AA8FD"/>
    <w:rsid w:val="26144750"/>
    <w:rsid w:val="2614C867"/>
    <w:rsid w:val="262F3D7E"/>
    <w:rsid w:val="26462BB3"/>
    <w:rsid w:val="264FB597"/>
    <w:rsid w:val="266BFD39"/>
    <w:rsid w:val="2671DF27"/>
    <w:rsid w:val="2671EEB6"/>
    <w:rsid w:val="26891C25"/>
    <w:rsid w:val="2691611A"/>
    <w:rsid w:val="2695990F"/>
    <w:rsid w:val="2696E572"/>
    <w:rsid w:val="26D5B28F"/>
    <w:rsid w:val="27400BCB"/>
    <w:rsid w:val="274D3EAC"/>
    <w:rsid w:val="275A1F77"/>
    <w:rsid w:val="2769CE0F"/>
    <w:rsid w:val="279DA393"/>
    <w:rsid w:val="27B476C1"/>
    <w:rsid w:val="27EF885C"/>
    <w:rsid w:val="280D919D"/>
    <w:rsid w:val="2814014C"/>
    <w:rsid w:val="2830484A"/>
    <w:rsid w:val="2833F22D"/>
    <w:rsid w:val="289F075E"/>
    <w:rsid w:val="28A45D76"/>
    <w:rsid w:val="28A5E63F"/>
    <w:rsid w:val="28C6FC09"/>
    <w:rsid w:val="28D2BA3A"/>
    <w:rsid w:val="28F5248A"/>
    <w:rsid w:val="28FD4573"/>
    <w:rsid w:val="2904EFE4"/>
    <w:rsid w:val="290997E5"/>
    <w:rsid w:val="2924DF15"/>
    <w:rsid w:val="293440F1"/>
    <w:rsid w:val="293A7A28"/>
    <w:rsid w:val="293D207A"/>
    <w:rsid w:val="29645B83"/>
    <w:rsid w:val="2971F4DB"/>
    <w:rsid w:val="297939A7"/>
    <w:rsid w:val="29A96ED8"/>
    <w:rsid w:val="29B6EB54"/>
    <w:rsid w:val="29F9A08D"/>
    <w:rsid w:val="29FBD1AA"/>
    <w:rsid w:val="2A48FE7F"/>
    <w:rsid w:val="2A4A9A0C"/>
    <w:rsid w:val="2A4E0468"/>
    <w:rsid w:val="2A5BD447"/>
    <w:rsid w:val="2A8EA0F7"/>
    <w:rsid w:val="2B03A2FC"/>
    <w:rsid w:val="2B06E362"/>
    <w:rsid w:val="2B22B2E2"/>
    <w:rsid w:val="2B40D8A9"/>
    <w:rsid w:val="2B586B36"/>
    <w:rsid w:val="2B5D1B2B"/>
    <w:rsid w:val="2B6536CA"/>
    <w:rsid w:val="2B711067"/>
    <w:rsid w:val="2B843F46"/>
    <w:rsid w:val="2B8AE2BF"/>
    <w:rsid w:val="2B93F619"/>
    <w:rsid w:val="2B947C73"/>
    <w:rsid w:val="2BC5200E"/>
    <w:rsid w:val="2BCB50FD"/>
    <w:rsid w:val="2BF444DE"/>
    <w:rsid w:val="2C07193D"/>
    <w:rsid w:val="2C28810E"/>
    <w:rsid w:val="2C3CBF69"/>
    <w:rsid w:val="2C667352"/>
    <w:rsid w:val="2C67ABE8"/>
    <w:rsid w:val="2C6DAE5E"/>
    <w:rsid w:val="2C875CE0"/>
    <w:rsid w:val="2C8E9CDD"/>
    <w:rsid w:val="2C9E9D1A"/>
    <w:rsid w:val="2CBFAA72"/>
    <w:rsid w:val="2CC59F31"/>
    <w:rsid w:val="2CE41F89"/>
    <w:rsid w:val="2CE6FC35"/>
    <w:rsid w:val="2D155D8B"/>
    <w:rsid w:val="2D1F19B3"/>
    <w:rsid w:val="2D21EEDA"/>
    <w:rsid w:val="2D236996"/>
    <w:rsid w:val="2D37E6D7"/>
    <w:rsid w:val="2D5DA941"/>
    <w:rsid w:val="2D7FF9C6"/>
    <w:rsid w:val="2D8CCD47"/>
    <w:rsid w:val="2D9E9D51"/>
    <w:rsid w:val="2DA3D0C5"/>
    <w:rsid w:val="2DAE626B"/>
    <w:rsid w:val="2DBCF970"/>
    <w:rsid w:val="2DDF437C"/>
    <w:rsid w:val="2E1BF0A8"/>
    <w:rsid w:val="2E26A9A3"/>
    <w:rsid w:val="2E2D7941"/>
    <w:rsid w:val="2E5F3C89"/>
    <w:rsid w:val="2E76589C"/>
    <w:rsid w:val="2E769180"/>
    <w:rsid w:val="2EB00308"/>
    <w:rsid w:val="2EBE2054"/>
    <w:rsid w:val="2EC773D3"/>
    <w:rsid w:val="2EC9A561"/>
    <w:rsid w:val="2ECC9444"/>
    <w:rsid w:val="2EE5F730"/>
    <w:rsid w:val="2F1144E5"/>
    <w:rsid w:val="2F3704F1"/>
    <w:rsid w:val="2F84EA05"/>
    <w:rsid w:val="30035E85"/>
    <w:rsid w:val="3005A41F"/>
    <w:rsid w:val="3021C4D6"/>
    <w:rsid w:val="302DCA49"/>
    <w:rsid w:val="30301D4F"/>
    <w:rsid w:val="3031EA7C"/>
    <w:rsid w:val="303B2596"/>
    <w:rsid w:val="3049CF40"/>
    <w:rsid w:val="304FE176"/>
    <w:rsid w:val="305B01BF"/>
    <w:rsid w:val="307D39BE"/>
    <w:rsid w:val="30871CBF"/>
    <w:rsid w:val="309B2313"/>
    <w:rsid w:val="30A44917"/>
    <w:rsid w:val="30A76B5E"/>
    <w:rsid w:val="30AC7A64"/>
    <w:rsid w:val="30C9E883"/>
    <w:rsid w:val="30DF3D6B"/>
    <w:rsid w:val="310D44CA"/>
    <w:rsid w:val="310E2EDA"/>
    <w:rsid w:val="31181083"/>
    <w:rsid w:val="312648EB"/>
    <w:rsid w:val="314C4C5B"/>
    <w:rsid w:val="315410BE"/>
    <w:rsid w:val="315E2B15"/>
    <w:rsid w:val="3168687E"/>
    <w:rsid w:val="317FBFB6"/>
    <w:rsid w:val="31803C0B"/>
    <w:rsid w:val="318C88CA"/>
    <w:rsid w:val="31B1D3FA"/>
    <w:rsid w:val="31F42611"/>
    <w:rsid w:val="321204DF"/>
    <w:rsid w:val="321EA4E7"/>
    <w:rsid w:val="32230851"/>
    <w:rsid w:val="3225AED5"/>
    <w:rsid w:val="32272BF9"/>
    <w:rsid w:val="3227F770"/>
    <w:rsid w:val="327FF079"/>
    <w:rsid w:val="32837F53"/>
    <w:rsid w:val="32AEA506"/>
    <w:rsid w:val="32B7D647"/>
    <w:rsid w:val="32E154E4"/>
    <w:rsid w:val="32FB3C51"/>
    <w:rsid w:val="33164660"/>
    <w:rsid w:val="331CD9F7"/>
    <w:rsid w:val="331FC67B"/>
    <w:rsid w:val="3321DC50"/>
    <w:rsid w:val="334D70D6"/>
    <w:rsid w:val="33884571"/>
    <w:rsid w:val="338AAFBA"/>
    <w:rsid w:val="339350A5"/>
    <w:rsid w:val="33970813"/>
    <w:rsid w:val="339A45CF"/>
    <w:rsid w:val="339E9186"/>
    <w:rsid w:val="33B76E4D"/>
    <w:rsid w:val="33CA9214"/>
    <w:rsid w:val="33EE7737"/>
    <w:rsid w:val="34066241"/>
    <w:rsid w:val="340C5DBC"/>
    <w:rsid w:val="34270624"/>
    <w:rsid w:val="342DB1AA"/>
    <w:rsid w:val="343F6CAA"/>
    <w:rsid w:val="3443E559"/>
    <w:rsid w:val="34631A17"/>
    <w:rsid w:val="346DE26A"/>
    <w:rsid w:val="347043C1"/>
    <w:rsid w:val="34A5FB3C"/>
    <w:rsid w:val="34AD66B2"/>
    <w:rsid w:val="34E92788"/>
    <w:rsid w:val="34FE986D"/>
    <w:rsid w:val="35068CBB"/>
    <w:rsid w:val="3508F995"/>
    <w:rsid w:val="351256C4"/>
    <w:rsid w:val="35350095"/>
    <w:rsid w:val="35374866"/>
    <w:rsid w:val="3565C296"/>
    <w:rsid w:val="357A2A5C"/>
    <w:rsid w:val="35839704"/>
    <w:rsid w:val="3584BAB5"/>
    <w:rsid w:val="359DFEDC"/>
    <w:rsid w:val="35ABCE0D"/>
    <w:rsid w:val="35B242BA"/>
    <w:rsid w:val="35B61822"/>
    <w:rsid w:val="35C8B3FD"/>
    <w:rsid w:val="35FC5252"/>
    <w:rsid w:val="35FF6A3A"/>
    <w:rsid w:val="35FF8205"/>
    <w:rsid w:val="36167964"/>
    <w:rsid w:val="364E32AD"/>
    <w:rsid w:val="36647496"/>
    <w:rsid w:val="3673D17B"/>
    <w:rsid w:val="3678134A"/>
    <w:rsid w:val="3680933E"/>
    <w:rsid w:val="368B3902"/>
    <w:rsid w:val="369B772E"/>
    <w:rsid w:val="36BBFBB9"/>
    <w:rsid w:val="36BD48AA"/>
    <w:rsid w:val="36BD73AB"/>
    <w:rsid w:val="36D1D375"/>
    <w:rsid w:val="371ADCAC"/>
    <w:rsid w:val="372B1548"/>
    <w:rsid w:val="372E51E5"/>
    <w:rsid w:val="376E745E"/>
    <w:rsid w:val="377DAD25"/>
    <w:rsid w:val="378FE7FB"/>
    <w:rsid w:val="37907E59"/>
    <w:rsid w:val="37E3D308"/>
    <w:rsid w:val="38187625"/>
    <w:rsid w:val="3828FA55"/>
    <w:rsid w:val="382D1AC8"/>
    <w:rsid w:val="382D53F7"/>
    <w:rsid w:val="383AAEAF"/>
    <w:rsid w:val="3853F88A"/>
    <w:rsid w:val="385AE1E7"/>
    <w:rsid w:val="38772F07"/>
    <w:rsid w:val="38EBEB0E"/>
    <w:rsid w:val="38F37993"/>
    <w:rsid w:val="39349137"/>
    <w:rsid w:val="393F0914"/>
    <w:rsid w:val="3948E19A"/>
    <w:rsid w:val="395029B6"/>
    <w:rsid w:val="395101CC"/>
    <w:rsid w:val="397196BD"/>
    <w:rsid w:val="3987F749"/>
    <w:rsid w:val="3989412B"/>
    <w:rsid w:val="3989B49E"/>
    <w:rsid w:val="39AAC5CB"/>
    <w:rsid w:val="39F9BC12"/>
    <w:rsid w:val="39FE2CEA"/>
    <w:rsid w:val="3A45D5C1"/>
    <w:rsid w:val="3A4D0733"/>
    <w:rsid w:val="3A4F2DE3"/>
    <w:rsid w:val="3A78AC8F"/>
    <w:rsid w:val="3AB4EBAD"/>
    <w:rsid w:val="3AE32DF6"/>
    <w:rsid w:val="3B0109D8"/>
    <w:rsid w:val="3B0B8241"/>
    <w:rsid w:val="3B0EDB25"/>
    <w:rsid w:val="3B146727"/>
    <w:rsid w:val="3B479495"/>
    <w:rsid w:val="3B6D824D"/>
    <w:rsid w:val="3B6FD0F0"/>
    <w:rsid w:val="3B745F23"/>
    <w:rsid w:val="3BB6ED2E"/>
    <w:rsid w:val="3BF13DE2"/>
    <w:rsid w:val="3C12A895"/>
    <w:rsid w:val="3C19A996"/>
    <w:rsid w:val="3C31C39E"/>
    <w:rsid w:val="3C5D5D41"/>
    <w:rsid w:val="3C609B20"/>
    <w:rsid w:val="3C6226B6"/>
    <w:rsid w:val="3C77493F"/>
    <w:rsid w:val="3C7AF400"/>
    <w:rsid w:val="3C86E744"/>
    <w:rsid w:val="3C87429D"/>
    <w:rsid w:val="3CA4E32D"/>
    <w:rsid w:val="3CB511DC"/>
    <w:rsid w:val="3CB8C304"/>
    <w:rsid w:val="3CB9789D"/>
    <w:rsid w:val="3CCA3003"/>
    <w:rsid w:val="3CD0465D"/>
    <w:rsid w:val="3CD1DBE4"/>
    <w:rsid w:val="3CD33F75"/>
    <w:rsid w:val="3CE03BA4"/>
    <w:rsid w:val="3CEC3F0C"/>
    <w:rsid w:val="3CF3438E"/>
    <w:rsid w:val="3CFB8D15"/>
    <w:rsid w:val="3D204DA4"/>
    <w:rsid w:val="3D2ACAED"/>
    <w:rsid w:val="3D30484F"/>
    <w:rsid w:val="3D528AF3"/>
    <w:rsid w:val="3D576A95"/>
    <w:rsid w:val="3D611084"/>
    <w:rsid w:val="3D62B80E"/>
    <w:rsid w:val="3D768DA2"/>
    <w:rsid w:val="3D930852"/>
    <w:rsid w:val="3D998426"/>
    <w:rsid w:val="3D9E3EA1"/>
    <w:rsid w:val="3DA94808"/>
    <w:rsid w:val="3DC00A33"/>
    <w:rsid w:val="3DDCC2E8"/>
    <w:rsid w:val="3DE096BC"/>
    <w:rsid w:val="3DE4B31F"/>
    <w:rsid w:val="3DF7A295"/>
    <w:rsid w:val="3DFB9BC7"/>
    <w:rsid w:val="3E10FB20"/>
    <w:rsid w:val="3E127C13"/>
    <w:rsid w:val="3E1EFE03"/>
    <w:rsid w:val="3E35C011"/>
    <w:rsid w:val="3E462D8B"/>
    <w:rsid w:val="3E59075D"/>
    <w:rsid w:val="3E5D90EB"/>
    <w:rsid w:val="3E826847"/>
    <w:rsid w:val="3E882F16"/>
    <w:rsid w:val="3E8B699F"/>
    <w:rsid w:val="3E9C0A1E"/>
    <w:rsid w:val="3EA7961B"/>
    <w:rsid w:val="3EAAEAA0"/>
    <w:rsid w:val="3ECC79CC"/>
    <w:rsid w:val="3F1FE119"/>
    <w:rsid w:val="3F238F08"/>
    <w:rsid w:val="3F602234"/>
    <w:rsid w:val="3F807D89"/>
    <w:rsid w:val="3F8E333D"/>
    <w:rsid w:val="3FA7A363"/>
    <w:rsid w:val="3FAEB61F"/>
    <w:rsid w:val="3FB84B0B"/>
    <w:rsid w:val="3FC5E2C4"/>
    <w:rsid w:val="3FD827ED"/>
    <w:rsid w:val="3FF51678"/>
    <w:rsid w:val="4033A3F0"/>
    <w:rsid w:val="4038752B"/>
    <w:rsid w:val="406416A2"/>
    <w:rsid w:val="4064CA15"/>
    <w:rsid w:val="406B71DE"/>
    <w:rsid w:val="406D9F65"/>
    <w:rsid w:val="40841FCE"/>
    <w:rsid w:val="408F40AB"/>
    <w:rsid w:val="40923447"/>
    <w:rsid w:val="40A83E4D"/>
    <w:rsid w:val="40B0E757"/>
    <w:rsid w:val="40B342D4"/>
    <w:rsid w:val="40BE043B"/>
    <w:rsid w:val="40E59C89"/>
    <w:rsid w:val="40E90694"/>
    <w:rsid w:val="410CB6BC"/>
    <w:rsid w:val="411693C4"/>
    <w:rsid w:val="4117110A"/>
    <w:rsid w:val="412CE67C"/>
    <w:rsid w:val="41303707"/>
    <w:rsid w:val="41312C72"/>
    <w:rsid w:val="415B7383"/>
    <w:rsid w:val="41ABEAA8"/>
    <w:rsid w:val="41B007DD"/>
    <w:rsid w:val="41B534EB"/>
    <w:rsid w:val="41BDD1E7"/>
    <w:rsid w:val="42032FD5"/>
    <w:rsid w:val="4203FC8B"/>
    <w:rsid w:val="421D0EBB"/>
    <w:rsid w:val="42270DF4"/>
    <w:rsid w:val="422C5FF6"/>
    <w:rsid w:val="4234E4C6"/>
    <w:rsid w:val="424D6E52"/>
    <w:rsid w:val="4256923F"/>
    <w:rsid w:val="426DE8F5"/>
    <w:rsid w:val="42ABFBCD"/>
    <w:rsid w:val="42C7C8D4"/>
    <w:rsid w:val="42CF40CD"/>
    <w:rsid w:val="42D011D1"/>
    <w:rsid w:val="42DCF5AE"/>
    <w:rsid w:val="42DFC48A"/>
    <w:rsid w:val="4305C06E"/>
    <w:rsid w:val="4314813D"/>
    <w:rsid w:val="43167224"/>
    <w:rsid w:val="4317EB01"/>
    <w:rsid w:val="43274848"/>
    <w:rsid w:val="4349D0F7"/>
    <w:rsid w:val="434E1AE9"/>
    <w:rsid w:val="43736774"/>
    <w:rsid w:val="4393255F"/>
    <w:rsid w:val="43C84011"/>
    <w:rsid w:val="43CDEA06"/>
    <w:rsid w:val="43E2BE2C"/>
    <w:rsid w:val="43F3C008"/>
    <w:rsid w:val="43F64AF8"/>
    <w:rsid w:val="4400FDF0"/>
    <w:rsid w:val="440C6040"/>
    <w:rsid w:val="44221130"/>
    <w:rsid w:val="442D0A0E"/>
    <w:rsid w:val="443850FD"/>
    <w:rsid w:val="44393CC1"/>
    <w:rsid w:val="44576A23"/>
    <w:rsid w:val="445D20A4"/>
    <w:rsid w:val="445FFB71"/>
    <w:rsid w:val="44669948"/>
    <w:rsid w:val="4491F44C"/>
    <w:rsid w:val="44D40B49"/>
    <w:rsid w:val="44E8486D"/>
    <w:rsid w:val="44EE51CA"/>
    <w:rsid w:val="45032191"/>
    <w:rsid w:val="450BEFB3"/>
    <w:rsid w:val="4517BC07"/>
    <w:rsid w:val="4536451F"/>
    <w:rsid w:val="4546D0AB"/>
    <w:rsid w:val="4553C629"/>
    <w:rsid w:val="4560570D"/>
    <w:rsid w:val="45756877"/>
    <w:rsid w:val="457DAB6B"/>
    <w:rsid w:val="458D8F4C"/>
    <w:rsid w:val="459FAAE2"/>
    <w:rsid w:val="45A1BAA8"/>
    <w:rsid w:val="45D9F416"/>
    <w:rsid w:val="45DCCD1C"/>
    <w:rsid w:val="45DE0439"/>
    <w:rsid w:val="4609AA57"/>
    <w:rsid w:val="462678CE"/>
    <w:rsid w:val="4633DA6E"/>
    <w:rsid w:val="464A3833"/>
    <w:rsid w:val="467A6695"/>
    <w:rsid w:val="4686AD54"/>
    <w:rsid w:val="468E6CA2"/>
    <w:rsid w:val="469CF212"/>
    <w:rsid w:val="469DFE6B"/>
    <w:rsid w:val="46BF1BFE"/>
    <w:rsid w:val="46E7D3DC"/>
    <w:rsid w:val="46F4A66B"/>
    <w:rsid w:val="46F8E9C0"/>
    <w:rsid w:val="46FAF5D2"/>
    <w:rsid w:val="47148578"/>
    <w:rsid w:val="472BC513"/>
    <w:rsid w:val="4757896F"/>
    <w:rsid w:val="477E6EDB"/>
    <w:rsid w:val="4794DBF2"/>
    <w:rsid w:val="479AD1A9"/>
    <w:rsid w:val="47B12879"/>
    <w:rsid w:val="47B51F77"/>
    <w:rsid w:val="47B98E2D"/>
    <w:rsid w:val="47C5BD06"/>
    <w:rsid w:val="47F703EC"/>
    <w:rsid w:val="47FAE280"/>
    <w:rsid w:val="481E93E1"/>
    <w:rsid w:val="481FB5EE"/>
    <w:rsid w:val="4833050F"/>
    <w:rsid w:val="483A7388"/>
    <w:rsid w:val="484BA0CE"/>
    <w:rsid w:val="48595D8D"/>
    <w:rsid w:val="4875C108"/>
    <w:rsid w:val="4897DF0E"/>
    <w:rsid w:val="48AC3EA9"/>
    <w:rsid w:val="48B27012"/>
    <w:rsid w:val="48C900D0"/>
    <w:rsid w:val="48D580D1"/>
    <w:rsid w:val="48E11B42"/>
    <w:rsid w:val="48F138FD"/>
    <w:rsid w:val="49261D20"/>
    <w:rsid w:val="492FF207"/>
    <w:rsid w:val="4939687B"/>
    <w:rsid w:val="4940B6BB"/>
    <w:rsid w:val="495973A0"/>
    <w:rsid w:val="496F96AF"/>
    <w:rsid w:val="49711C67"/>
    <w:rsid w:val="498F88EF"/>
    <w:rsid w:val="49960E7B"/>
    <w:rsid w:val="499BD4C3"/>
    <w:rsid w:val="49A111DE"/>
    <w:rsid w:val="49B610EE"/>
    <w:rsid w:val="49F9DBB9"/>
    <w:rsid w:val="49FA11C9"/>
    <w:rsid w:val="49FB6138"/>
    <w:rsid w:val="49FFFCFF"/>
    <w:rsid w:val="4A098C92"/>
    <w:rsid w:val="4A11EF89"/>
    <w:rsid w:val="4A186413"/>
    <w:rsid w:val="4A2A3C23"/>
    <w:rsid w:val="4A488915"/>
    <w:rsid w:val="4A7FF9AF"/>
    <w:rsid w:val="4A88C1EE"/>
    <w:rsid w:val="4A914803"/>
    <w:rsid w:val="4AA84A06"/>
    <w:rsid w:val="4AB27FE7"/>
    <w:rsid w:val="4AC25701"/>
    <w:rsid w:val="4AF1B141"/>
    <w:rsid w:val="4B52AAF5"/>
    <w:rsid w:val="4B65692D"/>
    <w:rsid w:val="4B781CA3"/>
    <w:rsid w:val="4B7C785A"/>
    <w:rsid w:val="4B8E091D"/>
    <w:rsid w:val="4B923F24"/>
    <w:rsid w:val="4BB66B11"/>
    <w:rsid w:val="4BBB1314"/>
    <w:rsid w:val="4BCE0A56"/>
    <w:rsid w:val="4BD99668"/>
    <w:rsid w:val="4BE9D13E"/>
    <w:rsid w:val="4BFFC6EC"/>
    <w:rsid w:val="4C49B1C7"/>
    <w:rsid w:val="4C56626A"/>
    <w:rsid w:val="4C843B15"/>
    <w:rsid w:val="4C89232B"/>
    <w:rsid w:val="4C8E6FD7"/>
    <w:rsid w:val="4C8FC85E"/>
    <w:rsid w:val="4CA92A30"/>
    <w:rsid w:val="4CD52E52"/>
    <w:rsid w:val="4CE01B04"/>
    <w:rsid w:val="4CF9E008"/>
    <w:rsid w:val="4CFBA649"/>
    <w:rsid w:val="4D25DD59"/>
    <w:rsid w:val="4D48269D"/>
    <w:rsid w:val="4D4FA1F0"/>
    <w:rsid w:val="4D61CDF6"/>
    <w:rsid w:val="4DCD07A6"/>
    <w:rsid w:val="4DD87A22"/>
    <w:rsid w:val="4DF2BD7F"/>
    <w:rsid w:val="4E28E0C7"/>
    <w:rsid w:val="4E3DA2C1"/>
    <w:rsid w:val="4E6992E9"/>
    <w:rsid w:val="4E6B0B3F"/>
    <w:rsid w:val="4E7520C9"/>
    <w:rsid w:val="4E9CFF77"/>
    <w:rsid w:val="4EA2BD2A"/>
    <w:rsid w:val="4EAF5C46"/>
    <w:rsid w:val="4EB4BC83"/>
    <w:rsid w:val="4EBC32E7"/>
    <w:rsid w:val="4EBC7D7A"/>
    <w:rsid w:val="4EE3810A"/>
    <w:rsid w:val="4EFAE7FB"/>
    <w:rsid w:val="4F1C39A0"/>
    <w:rsid w:val="4F1ECAC0"/>
    <w:rsid w:val="4F2C46AE"/>
    <w:rsid w:val="4F2CC5D0"/>
    <w:rsid w:val="4F3DA21B"/>
    <w:rsid w:val="4F481CAF"/>
    <w:rsid w:val="4F5DDD88"/>
    <w:rsid w:val="4F6C3D2A"/>
    <w:rsid w:val="4F7E67C5"/>
    <w:rsid w:val="4F9BFFE3"/>
    <w:rsid w:val="4FC687E5"/>
    <w:rsid w:val="4FF0C574"/>
    <w:rsid w:val="500911FB"/>
    <w:rsid w:val="50187BF3"/>
    <w:rsid w:val="50230A83"/>
    <w:rsid w:val="502F10BF"/>
    <w:rsid w:val="5055A47A"/>
    <w:rsid w:val="50574A08"/>
    <w:rsid w:val="5079C87E"/>
    <w:rsid w:val="50871872"/>
    <w:rsid w:val="50B4FA83"/>
    <w:rsid w:val="50BB4ACA"/>
    <w:rsid w:val="50E371ED"/>
    <w:rsid w:val="50F54E71"/>
    <w:rsid w:val="50F57D06"/>
    <w:rsid w:val="5135B402"/>
    <w:rsid w:val="5145758C"/>
    <w:rsid w:val="51514BA8"/>
    <w:rsid w:val="515700DC"/>
    <w:rsid w:val="515C5ACF"/>
    <w:rsid w:val="518CC392"/>
    <w:rsid w:val="5191350E"/>
    <w:rsid w:val="519415D1"/>
    <w:rsid w:val="519C170D"/>
    <w:rsid w:val="51A8B187"/>
    <w:rsid w:val="51AB0F85"/>
    <w:rsid w:val="51C15D1C"/>
    <w:rsid w:val="51E73012"/>
    <w:rsid w:val="51E8D0FF"/>
    <w:rsid w:val="51FB201F"/>
    <w:rsid w:val="5202C328"/>
    <w:rsid w:val="520D4F13"/>
    <w:rsid w:val="52234123"/>
    <w:rsid w:val="522A1B6E"/>
    <w:rsid w:val="52342D06"/>
    <w:rsid w:val="52376221"/>
    <w:rsid w:val="526BF78E"/>
    <w:rsid w:val="526D3B3D"/>
    <w:rsid w:val="526D8DEA"/>
    <w:rsid w:val="527F5220"/>
    <w:rsid w:val="52817E97"/>
    <w:rsid w:val="5286A348"/>
    <w:rsid w:val="52AB1F81"/>
    <w:rsid w:val="52BDC294"/>
    <w:rsid w:val="52CBE68E"/>
    <w:rsid w:val="52D8D81C"/>
    <w:rsid w:val="52DC5E05"/>
    <w:rsid w:val="52E2E9F7"/>
    <w:rsid w:val="52EA255D"/>
    <w:rsid w:val="530A8309"/>
    <w:rsid w:val="53249572"/>
    <w:rsid w:val="532D9865"/>
    <w:rsid w:val="5352AA39"/>
    <w:rsid w:val="53551BC7"/>
    <w:rsid w:val="53794D54"/>
    <w:rsid w:val="538103EE"/>
    <w:rsid w:val="538F9437"/>
    <w:rsid w:val="53942DF1"/>
    <w:rsid w:val="53ADD310"/>
    <w:rsid w:val="53B51892"/>
    <w:rsid w:val="53B5F5D1"/>
    <w:rsid w:val="53C436A8"/>
    <w:rsid w:val="53D9F600"/>
    <w:rsid w:val="53F126AB"/>
    <w:rsid w:val="542D2515"/>
    <w:rsid w:val="543B94B9"/>
    <w:rsid w:val="544DAE0A"/>
    <w:rsid w:val="5450880F"/>
    <w:rsid w:val="54570A47"/>
    <w:rsid w:val="548530BD"/>
    <w:rsid w:val="54914220"/>
    <w:rsid w:val="549641A9"/>
    <w:rsid w:val="549B2FF9"/>
    <w:rsid w:val="54A12F4D"/>
    <w:rsid w:val="54A6536A"/>
    <w:rsid w:val="54BA1F3D"/>
    <w:rsid w:val="54C1B43F"/>
    <w:rsid w:val="54DC8A9D"/>
    <w:rsid w:val="54E3AD42"/>
    <w:rsid w:val="54E5302D"/>
    <w:rsid w:val="5501E95B"/>
    <w:rsid w:val="550FADD3"/>
    <w:rsid w:val="551F16A7"/>
    <w:rsid w:val="5520C6A0"/>
    <w:rsid w:val="55307BFA"/>
    <w:rsid w:val="553EB78F"/>
    <w:rsid w:val="554C978A"/>
    <w:rsid w:val="557EDBF9"/>
    <w:rsid w:val="55C3021F"/>
    <w:rsid w:val="55D54CF8"/>
    <w:rsid w:val="55D67A42"/>
    <w:rsid w:val="55DF721B"/>
    <w:rsid w:val="55F00973"/>
    <w:rsid w:val="5643E280"/>
    <w:rsid w:val="564A0E68"/>
    <w:rsid w:val="564D2CBF"/>
    <w:rsid w:val="5663C85C"/>
    <w:rsid w:val="5667CAB9"/>
    <w:rsid w:val="56706E1C"/>
    <w:rsid w:val="56793A5E"/>
    <w:rsid w:val="569F5928"/>
    <w:rsid w:val="56A83F3E"/>
    <w:rsid w:val="56C3F1FB"/>
    <w:rsid w:val="56D53659"/>
    <w:rsid w:val="572859D6"/>
    <w:rsid w:val="577FADC2"/>
    <w:rsid w:val="57884866"/>
    <w:rsid w:val="57982C76"/>
    <w:rsid w:val="57A178A7"/>
    <w:rsid w:val="57B851C4"/>
    <w:rsid w:val="5811619E"/>
    <w:rsid w:val="581E37C9"/>
    <w:rsid w:val="582645CD"/>
    <w:rsid w:val="583FBBDB"/>
    <w:rsid w:val="583FC34C"/>
    <w:rsid w:val="58407BCC"/>
    <w:rsid w:val="584CE015"/>
    <w:rsid w:val="585DBE2D"/>
    <w:rsid w:val="585E422B"/>
    <w:rsid w:val="58CF4C25"/>
    <w:rsid w:val="58D432EA"/>
    <w:rsid w:val="58EE1761"/>
    <w:rsid w:val="58F61A2B"/>
    <w:rsid w:val="58F90EE6"/>
    <w:rsid w:val="59111123"/>
    <w:rsid w:val="596A74A5"/>
    <w:rsid w:val="5981A465"/>
    <w:rsid w:val="59A038EE"/>
    <w:rsid w:val="59A68347"/>
    <w:rsid w:val="59AD0198"/>
    <w:rsid w:val="59CCFCD8"/>
    <w:rsid w:val="59D80B04"/>
    <w:rsid w:val="5A11405C"/>
    <w:rsid w:val="5A225A3D"/>
    <w:rsid w:val="5A262B80"/>
    <w:rsid w:val="5A2F0AA7"/>
    <w:rsid w:val="5A307ADA"/>
    <w:rsid w:val="5A34B4D9"/>
    <w:rsid w:val="5A415906"/>
    <w:rsid w:val="5A487BCE"/>
    <w:rsid w:val="5A5796AC"/>
    <w:rsid w:val="5A94FD3A"/>
    <w:rsid w:val="5ACB0828"/>
    <w:rsid w:val="5ACDC01F"/>
    <w:rsid w:val="5AE1E02D"/>
    <w:rsid w:val="5AE68C6C"/>
    <w:rsid w:val="5AEE59E3"/>
    <w:rsid w:val="5B00CB3C"/>
    <w:rsid w:val="5B14D41B"/>
    <w:rsid w:val="5B2857E7"/>
    <w:rsid w:val="5B295804"/>
    <w:rsid w:val="5B31BCA7"/>
    <w:rsid w:val="5B3A06FE"/>
    <w:rsid w:val="5B3E4711"/>
    <w:rsid w:val="5B405F90"/>
    <w:rsid w:val="5B99492F"/>
    <w:rsid w:val="5BB5E53A"/>
    <w:rsid w:val="5BB675AB"/>
    <w:rsid w:val="5BDAD76A"/>
    <w:rsid w:val="5BECB7C8"/>
    <w:rsid w:val="5BECC160"/>
    <w:rsid w:val="5C11BA12"/>
    <w:rsid w:val="5C14DDD2"/>
    <w:rsid w:val="5C1A0075"/>
    <w:rsid w:val="5C2EF96C"/>
    <w:rsid w:val="5C5CE8AB"/>
    <w:rsid w:val="5C62A672"/>
    <w:rsid w:val="5C7AAF11"/>
    <w:rsid w:val="5C8A2A44"/>
    <w:rsid w:val="5C9DD298"/>
    <w:rsid w:val="5CAD35F6"/>
    <w:rsid w:val="5CB498AB"/>
    <w:rsid w:val="5CC548C1"/>
    <w:rsid w:val="5CCAAB61"/>
    <w:rsid w:val="5D214404"/>
    <w:rsid w:val="5D234661"/>
    <w:rsid w:val="5D28C23D"/>
    <w:rsid w:val="5D2FC3B8"/>
    <w:rsid w:val="5D4E6BBD"/>
    <w:rsid w:val="5D55A7FE"/>
    <w:rsid w:val="5D5AB15A"/>
    <w:rsid w:val="5D6ECF18"/>
    <w:rsid w:val="5D82CCD6"/>
    <w:rsid w:val="5D88761D"/>
    <w:rsid w:val="5D9F103F"/>
    <w:rsid w:val="5DE4AEEF"/>
    <w:rsid w:val="5DEEFD3B"/>
    <w:rsid w:val="5E3AE542"/>
    <w:rsid w:val="5E4F7ECC"/>
    <w:rsid w:val="5E505FB7"/>
    <w:rsid w:val="5E76C579"/>
    <w:rsid w:val="5E7A507E"/>
    <w:rsid w:val="5EA492A5"/>
    <w:rsid w:val="5EABB2B7"/>
    <w:rsid w:val="5ED03357"/>
    <w:rsid w:val="5EE0F93A"/>
    <w:rsid w:val="5EE1FCBA"/>
    <w:rsid w:val="5EE99D8B"/>
    <w:rsid w:val="5F2C31FA"/>
    <w:rsid w:val="5F2E9A03"/>
    <w:rsid w:val="5F2EE64A"/>
    <w:rsid w:val="5F4C7068"/>
    <w:rsid w:val="5F519994"/>
    <w:rsid w:val="5F531F22"/>
    <w:rsid w:val="5F5B2952"/>
    <w:rsid w:val="5F6670B7"/>
    <w:rsid w:val="5F78B35C"/>
    <w:rsid w:val="5F7EE4D8"/>
    <w:rsid w:val="5F7F2838"/>
    <w:rsid w:val="5F8B39E0"/>
    <w:rsid w:val="5FA350CB"/>
    <w:rsid w:val="5FD342EF"/>
    <w:rsid w:val="5FED685C"/>
    <w:rsid w:val="5FEE9FB0"/>
    <w:rsid w:val="5FF38820"/>
    <w:rsid w:val="60361EC5"/>
    <w:rsid w:val="60391F0D"/>
    <w:rsid w:val="606CB99F"/>
    <w:rsid w:val="607F9030"/>
    <w:rsid w:val="6085C053"/>
    <w:rsid w:val="609801C0"/>
    <w:rsid w:val="60BC8E70"/>
    <w:rsid w:val="60C8FC1E"/>
    <w:rsid w:val="60CF6476"/>
    <w:rsid w:val="60D96F32"/>
    <w:rsid w:val="60F11B16"/>
    <w:rsid w:val="613C8D78"/>
    <w:rsid w:val="6172AD29"/>
    <w:rsid w:val="618C2267"/>
    <w:rsid w:val="61B52617"/>
    <w:rsid w:val="61BF82F6"/>
    <w:rsid w:val="61D471E6"/>
    <w:rsid w:val="61E4B707"/>
    <w:rsid w:val="620B4427"/>
    <w:rsid w:val="62172329"/>
    <w:rsid w:val="621A1313"/>
    <w:rsid w:val="623A1F6D"/>
    <w:rsid w:val="624B276C"/>
    <w:rsid w:val="627D42BF"/>
    <w:rsid w:val="62C15F30"/>
    <w:rsid w:val="62DA5ADA"/>
    <w:rsid w:val="62DD94C9"/>
    <w:rsid w:val="62F2DA5F"/>
    <w:rsid w:val="630B3122"/>
    <w:rsid w:val="6318D6A2"/>
    <w:rsid w:val="631E80B4"/>
    <w:rsid w:val="632C9E54"/>
    <w:rsid w:val="63355C6F"/>
    <w:rsid w:val="633E228B"/>
    <w:rsid w:val="634E30D7"/>
    <w:rsid w:val="63544B10"/>
    <w:rsid w:val="636BBF63"/>
    <w:rsid w:val="63771624"/>
    <w:rsid w:val="638A3E28"/>
    <w:rsid w:val="63A71F80"/>
    <w:rsid w:val="63C38E13"/>
    <w:rsid w:val="63DC4369"/>
    <w:rsid w:val="63F8C3FB"/>
    <w:rsid w:val="63F94363"/>
    <w:rsid w:val="63FBE435"/>
    <w:rsid w:val="640DBD25"/>
    <w:rsid w:val="64129DFD"/>
    <w:rsid w:val="642BE5F6"/>
    <w:rsid w:val="643234D8"/>
    <w:rsid w:val="6445DCAB"/>
    <w:rsid w:val="644B819D"/>
    <w:rsid w:val="64671963"/>
    <w:rsid w:val="64855D0A"/>
    <w:rsid w:val="64AE455B"/>
    <w:rsid w:val="64C5C60C"/>
    <w:rsid w:val="64C95EBB"/>
    <w:rsid w:val="64FEC6B2"/>
    <w:rsid w:val="6517C09A"/>
    <w:rsid w:val="6520B7D3"/>
    <w:rsid w:val="65316828"/>
    <w:rsid w:val="65331E0D"/>
    <w:rsid w:val="654E0317"/>
    <w:rsid w:val="65523731"/>
    <w:rsid w:val="6559E523"/>
    <w:rsid w:val="655A8D51"/>
    <w:rsid w:val="656FD6BF"/>
    <w:rsid w:val="657764E6"/>
    <w:rsid w:val="657924A7"/>
    <w:rsid w:val="658F5887"/>
    <w:rsid w:val="6598D507"/>
    <w:rsid w:val="65B6387C"/>
    <w:rsid w:val="65E60F31"/>
    <w:rsid w:val="65EF831C"/>
    <w:rsid w:val="65F4F463"/>
    <w:rsid w:val="65F64CC8"/>
    <w:rsid w:val="6648A3B3"/>
    <w:rsid w:val="664ACACB"/>
    <w:rsid w:val="66503637"/>
    <w:rsid w:val="665833CF"/>
    <w:rsid w:val="6661D4C3"/>
    <w:rsid w:val="666A0BF4"/>
    <w:rsid w:val="66BC72D0"/>
    <w:rsid w:val="66C1D221"/>
    <w:rsid w:val="66D1D50F"/>
    <w:rsid w:val="66D3C39C"/>
    <w:rsid w:val="66E74DD7"/>
    <w:rsid w:val="66E90AD3"/>
    <w:rsid w:val="66EA4837"/>
    <w:rsid w:val="67065EF9"/>
    <w:rsid w:val="670BA720"/>
    <w:rsid w:val="671DC5FC"/>
    <w:rsid w:val="67314D1F"/>
    <w:rsid w:val="67466134"/>
    <w:rsid w:val="675722A6"/>
    <w:rsid w:val="677C8400"/>
    <w:rsid w:val="67822368"/>
    <w:rsid w:val="678F42E3"/>
    <w:rsid w:val="67A91BD2"/>
    <w:rsid w:val="67B9B96D"/>
    <w:rsid w:val="67DD99AD"/>
    <w:rsid w:val="67FA17C8"/>
    <w:rsid w:val="685FBCA2"/>
    <w:rsid w:val="6868758F"/>
    <w:rsid w:val="687E7476"/>
    <w:rsid w:val="68839353"/>
    <w:rsid w:val="689F74DF"/>
    <w:rsid w:val="69153DC6"/>
    <w:rsid w:val="691A8A87"/>
    <w:rsid w:val="69355A71"/>
    <w:rsid w:val="693E1F2D"/>
    <w:rsid w:val="694D747C"/>
    <w:rsid w:val="69520CC0"/>
    <w:rsid w:val="698D6775"/>
    <w:rsid w:val="698D9D99"/>
    <w:rsid w:val="69932DC8"/>
    <w:rsid w:val="69ACF7F3"/>
    <w:rsid w:val="69BCECA8"/>
    <w:rsid w:val="69D3E196"/>
    <w:rsid w:val="69D9E753"/>
    <w:rsid w:val="69E42F62"/>
    <w:rsid w:val="69EF8942"/>
    <w:rsid w:val="6A155946"/>
    <w:rsid w:val="6A204C5A"/>
    <w:rsid w:val="6A2ECB5A"/>
    <w:rsid w:val="6A3C8D16"/>
    <w:rsid w:val="6A508A87"/>
    <w:rsid w:val="6A72F1B8"/>
    <w:rsid w:val="6AC123A6"/>
    <w:rsid w:val="6AC9F74F"/>
    <w:rsid w:val="6ADCF9F5"/>
    <w:rsid w:val="6AF6F8AB"/>
    <w:rsid w:val="6B2ACC1F"/>
    <w:rsid w:val="6B30B3CE"/>
    <w:rsid w:val="6B5AC9A0"/>
    <w:rsid w:val="6B93551F"/>
    <w:rsid w:val="6B9A6D89"/>
    <w:rsid w:val="6BBA71F8"/>
    <w:rsid w:val="6BCE0D1D"/>
    <w:rsid w:val="6BE6B6C7"/>
    <w:rsid w:val="6BF30367"/>
    <w:rsid w:val="6BFC45CC"/>
    <w:rsid w:val="6C056512"/>
    <w:rsid w:val="6C102BDE"/>
    <w:rsid w:val="6C1068DD"/>
    <w:rsid w:val="6C11F676"/>
    <w:rsid w:val="6C245937"/>
    <w:rsid w:val="6C3AFE11"/>
    <w:rsid w:val="6C518A68"/>
    <w:rsid w:val="6C583E1F"/>
    <w:rsid w:val="6C861505"/>
    <w:rsid w:val="6C923442"/>
    <w:rsid w:val="6CA5C907"/>
    <w:rsid w:val="6CA8DDEC"/>
    <w:rsid w:val="6CA8EFD1"/>
    <w:rsid w:val="6CBB3A19"/>
    <w:rsid w:val="6CEB0854"/>
    <w:rsid w:val="6CFEACD8"/>
    <w:rsid w:val="6D056BBE"/>
    <w:rsid w:val="6D0B4ADE"/>
    <w:rsid w:val="6D1C8B92"/>
    <w:rsid w:val="6D2A37D9"/>
    <w:rsid w:val="6D2EB48F"/>
    <w:rsid w:val="6D62FC89"/>
    <w:rsid w:val="6D781DA2"/>
    <w:rsid w:val="6D7F22EF"/>
    <w:rsid w:val="6DBD3D62"/>
    <w:rsid w:val="6DE0829A"/>
    <w:rsid w:val="6DE614F3"/>
    <w:rsid w:val="6E218A6A"/>
    <w:rsid w:val="6E4746C3"/>
    <w:rsid w:val="6E527188"/>
    <w:rsid w:val="6E5F2425"/>
    <w:rsid w:val="6E8A6552"/>
    <w:rsid w:val="6ECE6A34"/>
    <w:rsid w:val="6ECF3C63"/>
    <w:rsid w:val="6EE5B310"/>
    <w:rsid w:val="6EFD90A8"/>
    <w:rsid w:val="6F25AE95"/>
    <w:rsid w:val="6F300C2A"/>
    <w:rsid w:val="6F502D97"/>
    <w:rsid w:val="6F58CBEE"/>
    <w:rsid w:val="6FBFB8E6"/>
    <w:rsid w:val="6FC5EC83"/>
    <w:rsid w:val="6FC9F5D4"/>
    <w:rsid w:val="6FD6B0C1"/>
    <w:rsid w:val="6FF27C6C"/>
    <w:rsid w:val="70273AC2"/>
    <w:rsid w:val="702F13E2"/>
    <w:rsid w:val="708421EB"/>
    <w:rsid w:val="708C4007"/>
    <w:rsid w:val="7090BC5B"/>
    <w:rsid w:val="70A88E05"/>
    <w:rsid w:val="70BF6A40"/>
    <w:rsid w:val="70C60DAA"/>
    <w:rsid w:val="70CA6413"/>
    <w:rsid w:val="70CC9D6D"/>
    <w:rsid w:val="71081E91"/>
    <w:rsid w:val="71521A7E"/>
    <w:rsid w:val="71641630"/>
    <w:rsid w:val="717B2BCF"/>
    <w:rsid w:val="717B3EFC"/>
    <w:rsid w:val="71826704"/>
    <w:rsid w:val="71EB01E6"/>
    <w:rsid w:val="71FEFB90"/>
    <w:rsid w:val="720C695D"/>
    <w:rsid w:val="72109B24"/>
    <w:rsid w:val="723F4D9D"/>
    <w:rsid w:val="72456834"/>
    <w:rsid w:val="7248F3BD"/>
    <w:rsid w:val="725011A9"/>
    <w:rsid w:val="7265B3E9"/>
    <w:rsid w:val="726D307C"/>
    <w:rsid w:val="7274FB3C"/>
    <w:rsid w:val="728EF939"/>
    <w:rsid w:val="7295751F"/>
    <w:rsid w:val="72B55052"/>
    <w:rsid w:val="72BA860A"/>
    <w:rsid w:val="72DA6667"/>
    <w:rsid w:val="72FCB4E1"/>
    <w:rsid w:val="733DFB06"/>
    <w:rsid w:val="73487681"/>
    <w:rsid w:val="73571542"/>
    <w:rsid w:val="738236ED"/>
    <w:rsid w:val="7386442B"/>
    <w:rsid w:val="7390B32D"/>
    <w:rsid w:val="739DBFEF"/>
    <w:rsid w:val="73D16A1B"/>
    <w:rsid w:val="73D8D84C"/>
    <w:rsid w:val="73E2B609"/>
    <w:rsid w:val="73FD2953"/>
    <w:rsid w:val="7411A413"/>
    <w:rsid w:val="742AE041"/>
    <w:rsid w:val="742FC188"/>
    <w:rsid w:val="746F3815"/>
    <w:rsid w:val="74702A5D"/>
    <w:rsid w:val="74710C70"/>
    <w:rsid w:val="7494F12F"/>
    <w:rsid w:val="74A23A0B"/>
    <w:rsid w:val="74B32159"/>
    <w:rsid w:val="74C09D6A"/>
    <w:rsid w:val="74FEF4E4"/>
    <w:rsid w:val="75258515"/>
    <w:rsid w:val="75324B93"/>
    <w:rsid w:val="753936E0"/>
    <w:rsid w:val="75672047"/>
    <w:rsid w:val="7584D5C4"/>
    <w:rsid w:val="758F7BDE"/>
    <w:rsid w:val="759C91B9"/>
    <w:rsid w:val="75B43C60"/>
    <w:rsid w:val="75BA4B03"/>
    <w:rsid w:val="75EEDB9B"/>
    <w:rsid w:val="7623B02E"/>
    <w:rsid w:val="76276F85"/>
    <w:rsid w:val="76463BA2"/>
    <w:rsid w:val="764ABD12"/>
    <w:rsid w:val="767D6066"/>
    <w:rsid w:val="7689FE47"/>
    <w:rsid w:val="768CFC95"/>
    <w:rsid w:val="769737B3"/>
    <w:rsid w:val="76AB6E87"/>
    <w:rsid w:val="76D5E41F"/>
    <w:rsid w:val="76FF52DE"/>
    <w:rsid w:val="7709B628"/>
    <w:rsid w:val="771391CB"/>
    <w:rsid w:val="771FC9B8"/>
    <w:rsid w:val="7721CAEA"/>
    <w:rsid w:val="775AF059"/>
    <w:rsid w:val="775BF43C"/>
    <w:rsid w:val="7760B3BD"/>
    <w:rsid w:val="77719379"/>
    <w:rsid w:val="777F0D26"/>
    <w:rsid w:val="778AB2D7"/>
    <w:rsid w:val="7796DABD"/>
    <w:rsid w:val="7797DF2F"/>
    <w:rsid w:val="779B3F2B"/>
    <w:rsid w:val="77A7306D"/>
    <w:rsid w:val="77B3D6FF"/>
    <w:rsid w:val="77C858AF"/>
    <w:rsid w:val="77DE6ED8"/>
    <w:rsid w:val="77E7AA0A"/>
    <w:rsid w:val="780E08B2"/>
    <w:rsid w:val="7842B16B"/>
    <w:rsid w:val="78516AC7"/>
    <w:rsid w:val="7876800F"/>
    <w:rsid w:val="787A8E52"/>
    <w:rsid w:val="787C6370"/>
    <w:rsid w:val="787CB8A1"/>
    <w:rsid w:val="789E0B3D"/>
    <w:rsid w:val="78CAAD73"/>
    <w:rsid w:val="78DE42C9"/>
    <w:rsid w:val="79079F74"/>
    <w:rsid w:val="79112454"/>
    <w:rsid w:val="7922AF0A"/>
    <w:rsid w:val="7940AEC8"/>
    <w:rsid w:val="79462152"/>
    <w:rsid w:val="79514AC1"/>
    <w:rsid w:val="79542B6D"/>
    <w:rsid w:val="797F748E"/>
    <w:rsid w:val="79A6B3EB"/>
    <w:rsid w:val="79CA7F3A"/>
    <w:rsid w:val="79DD45B4"/>
    <w:rsid w:val="7A1AB68D"/>
    <w:rsid w:val="7A2B5508"/>
    <w:rsid w:val="7A47822F"/>
    <w:rsid w:val="7A55164F"/>
    <w:rsid w:val="7A580EF5"/>
    <w:rsid w:val="7A77E974"/>
    <w:rsid w:val="7ACE6067"/>
    <w:rsid w:val="7ADE5C43"/>
    <w:rsid w:val="7AE6866C"/>
    <w:rsid w:val="7AFCD8DB"/>
    <w:rsid w:val="7B051753"/>
    <w:rsid w:val="7B091E07"/>
    <w:rsid w:val="7B0F775A"/>
    <w:rsid w:val="7B1618D5"/>
    <w:rsid w:val="7B1ACF79"/>
    <w:rsid w:val="7B30A1AB"/>
    <w:rsid w:val="7B38B05B"/>
    <w:rsid w:val="7B4FFA45"/>
    <w:rsid w:val="7B6AC2C4"/>
    <w:rsid w:val="7B8333BC"/>
    <w:rsid w:val="7B8FAE4E"/>
    <w:rsid w:val="7BE34AF1"/>
    <w:rsid w:val="7BF8A6F0"/>
    <w:rsid w:val="7C4676D1"/>
    <w:rsid w:val="7C4C8AC0"/>
    <w:rsid w:val="7C5F6876"/>
    <w:rsid w:val="7C7B0FDB"/>
    <w:rsid w:val="7C803AC7"/>
    <w:rsid w:val="7C8C7ADD"/>
    <w:rsid w:val="7C8DC140"/>
    <w:rsid w:val="7CBA2C9E"/>
    <w:rsid w:val="7CCC720C"/>
    <w:rsid w:val="7CD14B37"/>
    <w:rsid w:val="7CD544A5"/>
    <w:rsid w:val="7CF42900"/>
    <w:rsid w:val="7D2A8B4A"/>
    <w:rsid w:val="7D4C766B"/>
    <w:rsid w:val="7D4FD9E7"/>
    <w:rsid w:val="7D582745"/>
    <w:rsid w:val="7D87ADF7"/>
    <w:rsid w:val="7D8F77CE"/>
    <w:rsid w:val="7DC034FF"/>
    <w:rsid w:val="7DC1C9A0"/>
    <w:rsid w:val="7DD4AEF2"/>
    <w:rsid w:val="7DF82001"/>
    <w:rsid w:val="7DF9C31C"/>
    <w:rsid w:val="7E0F25DE"/>
    <w:rsid w:val="7E422F7B"/>
    <w:rsid w:val="7E42484C"/>
    <w:rsid w:val="7E5C3F85"/>
    <w:rsid w:val="7E9D0D7F"/>
    <w:rsid w:val="7ED05EAF"/>
    <w:rsid w:val="7F12F42A"/>
    <w:rsid w:val="7F37748A"/>
    <w:rsid w:val="7F59B2D4"/>
    <w:rsid w:val="7F5B0F7D"/>
    <w:rsid w:val="7F8E4976"/>
    <w:rsid w:val="7FA29C23"/>
    <w:rsid w:val="7FB62006"/>
    <w:rsid w:val="7FC5F95C"/>
    <w:rsid w:val="7FC7CA23"/>
    <w:rsid w:val="7FCADDFD"/>
    <w:rsid w:val="7FD428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B24CD"/>
  <w15:docId w15:val="{A1E6F629-4212-4235-A572-4BDE5C87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61"/>
    <w:pPr>
      <w:spacing w:after="240" w:line="264" w:lineRule="auto"/>
    </w:pPr>
    <w:rPr>
      <w:rFonts w:ascii="Calibri Light" w:hAnsi="Calibri Light"/>
      <w:color w:val="333333" w:themeColor="text1"/>
      <w:sz w:val="20"/>
    </w:rPr>
  </w:style>
  <w:style w:type="paragraph" w:styleId="Heading1">
    <w:name w:val="heading 1"/>
    <w:aliases w:val="Heading 1 EIT UM"/>
    <w:basedOn w:val="Normal"/>
    <w:next w:val="Normal"/>
    <w:link w:val="Heading1Char"/>
    <w:uiPriority w:val="9"/>
    <w:qFormat/>
    <w:rsid w:val="00345019"/>
    <w:pPr>
      <w:keepNext/>
      <w:keepLines/>
      <w:spacing w:before="960"/>
      <w:ind w:hanging="851"/>
      <w:contextualSpacing/>
      <w:outlineLvl w:val="0"/>
    </w:pPr>
    <w:rPr>
      <w:rFonts w:eastAsiaTheme="majorEastAsia" w:cstheme="majorBidi"/>
      <w:bCs/>
      <w:color w:val="034EA2" w:themeColor="text2"/>
      <w:sz w:val="60"/>
      <w:szCs w:val="28"/>
    </w:rPr>
  </w:style>
  <w:style w:type="paragraph" w:styleId="Heading2">
    <w:name w:val="heading 2"/>
    <w:basedOn w:val="Normal"/>
    <w:next w:val="Normal"/>
    <w:link w:val="Heading2Char"/>
    <w:uiPriority w:val="9"/>
    <w:unhideWhenUsed/>
    <w:qFormat/>
    <w:rsid w:val="00345019"/>
    <w:pPr>
      <w:keepNext/>
      <w:keepLines/>
      <w:spacing w:before="600" w:after="120"/>
      <w:ind w:left="-851" w:right="1276"/>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9"/>
    <w:unhideWhenUsed/>
    <w:qFormat/>
    <w:rsid w:val="00345019"/>
    <w:pPr>
      <w:keepNext/>
      <w:keepLines/>
      <w:spacing w:after="360"/>
      <w:outlineLvl w:val="2"/>
    </w:pPr>
    <w:rPr>
      <w:rFonts w:eastAsiaTheme="majorEastAsia" w:cstheme="majorBidi"/>
      <w:bCs/>
      <w:color w:val="848484" w:themeColor="text1" w:themeTint="99"/>
      <w:sz w:val="24"/>
    </w:rPr>
  </w:style>
  <w:style w:type="paragraph" w:styleId="Heading4">
    <w:name w:val="heading 4"/>
    <w:basedOn w:val="Normal"/>
    <w:next w:val="Normal"/>
    <w:link w:val="Heading4Char"/>
    <w:uiPriority w:val="9"/>
    <w:unhideWhenUsed/>
    <w:qFormat/>
    <w:rsid w:val="00345019"/>
    <w:pPr>
      <w:keepNext/>
      <w:keepLines/>
      <w:outlineLvl w:val="3"/>
    </w:pPr>
    <w:rPr>
      <w:rFonts w:ascii="Calibri" w:eastAsiaTheme="majorEastAsia" w:hAnsi="Calibri" w:cstheme="majorBidi"/>
      <w:b/>
      <w:bCs/>
      <w:iCs/>
      <w:sz w:val="32"/>
    </w:rPr>
  </w:style>
  <w:style w:type="paragraph" w:styleId="Heading5">
    <w:name w:val="heading 5"/>
    <w:basedOn w:val="Normal"/>
    <w:next w:val="Normal"/>
    <w:link w:val="Heading5Char"/>
    <w:uiPriority w:val="9"/>
    <w:unhideWhenUsed/>
    <w:qFormat/>
    <w:rsid w:val="009703CB"/>
    <w:pPr>
      <w:keepNext/>
      <w:keepLines/>
      <w:spacing w:before="40" w:after="0"/>
      <w:outlineLvl w:val="4"/>
    </w:pPr>
    <w:rPr>
      <w:rFonts w:asciiTheme="majorHAnsi" w:eastAsiaTheme="majorEastAsia" w:hAnsiTheme="majorHAnsi" w:cstheme="majorBidi"/>
      <w:color w:val="23A2E4" w:themeColor="accent1" w:themeShade="BF"/>
    </w:rPr>
  </w:style>
  <w:style w:type="paragraph" w:styleId="Heading6">
    <w:name w:val="heading 6"/>
    <w:basedOn w:val="Normal"/>
    <w:next w:val="Normal"/>
    <w:link w:val="Heading6Char"/>
    <w:uiPriority w:val="9"/>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sz w:val="22"/>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sz w:val="22"/>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345019"/>
    <w:pPr>
      <w:numPr>
        <w:numId w:val="11"/>
      </w:numPr>
      <w:spacing w:after="120"/>
      <w:ind w:left="714" w:hanging="357"/>
      <w:contextualSpacing w:val="0"/>
    </w:pPr>
  </w:style>
  <w:style w:type="character" w:customStyle="1" w:styleId="BulletLevel1Char">
    <w:name w:val="Bullet Level 1 Char"/>
    <w:basedOn w:val="ListParagraphChar"/>
    <w:link w:val="BulletLevel1"/>
    <w:rsid w:val="00345019"/>
    <w:rPr>
      <w:rFonts w:ascii="Calibri Light" w:hAnsi="Calibri Light"/>
      <w:color w:val="333333" w:themeColor="text1"/>
      <w:sz w:val="20"/>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776F5A"/>
    <w:pPr>
      <w:ind w:left="720"/>
      <w:contextualSpacing/>
    </w:pPr>
  </w:style>
  <w:style w:type="paragraph" w:customStyle="1" w:styleId="BulletLevel2">
    <w:name w:val="Bullet Level 2"/>
    <w:basedOn w:val="BulletLevel1"/>
    <w:link w:val="BulletLevel2Char"/>
    <w:qFormat/>
    <w:rsid w:val="00345019"/>
    <w:pPr>
      <w:numPr>
        <w:numId w:val="12"/>
      </w:numPr>
    </w:pPr>
  </w:style>
  <w:style w:type="character" w:customStyle="1" w:styleId="BulletLevel2Char">
    <w:name w:val="Bullet Level 2 Char"/>
    <w:basedOn w:val="BulletLevel1Char"/>
    <w:link w:val="BulletLevel2"/>
    <w:rsid w:val="00345019"/>
    <w:rPr>
      <w:rFonts w:ascii="Calibri Light" w:hAnsi="Calibri Light"/>
      <w:color w:val="333333" w:themeColor="text1"/>
      <w:sz w:val="20"/>
    </w:rPr>
  </w:style>
  <w:style w:type="character" w:customStyle="1" w:styleId="Heading1Char">
    <w:name w:val="Heading 1 Char"/>
    <w:aliases w:val="Heading 1 EIT UM Char"/>
    <w:basedOn w:val="DefaultParagraphFont"/>
    <w:link w:val="Heading1"/>
    <w:uiPriority w:val="9"/>
    <w:rsid w:val="00345019"/>
    <w:rPr>
      <w:rFonts w:ascii="Calibri Light" w:eastAsiaTheme="majorEastAsia" w:hAnsi="Calibri Light" w:cstheme="majorBidi"/>
      <w:bCs/>
      <w:color w:val="034EA2" w:themeColor="text2"/>
      <w:sz w:val="60"/>
      <w:szCs w:val="28"/>
    </w:rPr>
  </w:style>
  <w:style w:type="character" w:customStyle="1" w:styleId="Heading2Char">
    <w:name w:val="Heading 2 Char"/>
    <w:basedOn w:val="DefaultParagraphFont"/>
    <w:link w:val="Heading2"/>
    <w:uiPriority w:val="9"/>
    <w:rsid w:val="00345019"/>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9"/>
    <w:rsid w:val="00345019"/>
    <w:rPr>
      <w:rFonts w:ascii="Calibri Light" w:eastAsiaTheme="majorEastAsia" w:hAnsi="Calibri Light" w:cstheme="majorBidi"/>
      <w:bCs/>
      <w:color w:val="848484" w:themeColor="text1" w:themeTint="99"/>
      <w:sz w:val="24"/>
    </w:rPr>
  </w:style>
  <w:style w:type="character" w:customStyle="1" w:styleId="Heading4Char">
    <w:name w:val="Heading 4 Char"/>
    <w:basedOn w:val="DefaultParagraphFont"/>
    <w:link w:val="Heading4"/>
    <w:uiPriority w:val="9"/>
    <w:rsid w:val="00345019"/>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TOCHeading"/>
    <w:next w:val="Normal"/>
    <w:link w:val="TitleChar"/>
    <w:uiPriority w:val="10"/>
    <w:qFormat/>
    <w:rsid w:val="00345019"/>
    <w:pPr>
      <w:ind w:firstLine="0"/>
    </w:pPr>
  </w:style>
  <w:style w:type="character" w:customStyle="1" w:styleId="TitleChar">
    <w:name w:val="Title Char"/>
    <w:basedOn w:val="DefaultParagraphFont"/>
    <w:link w:val="Title"/>
    <w:uiPriority w:val="10"/>
    <w:rsid w:val="00345019"/>
    <w:rPr>
      <w:rFonts w:ascii="Calibri Light" w:eastAsiaTheme="majorEastAsia" w:hAnsi="Calibri Light" w:cstheme="majorBidi"/>
      <w:bCs/>
      <w:color w:val="034EA2" w:themeColor="text2"/>
      <w:sz w:val="60"/>
      <w:szCs w:val="28"/>
    </w:rPr>
  </w:style>
  <w:style w:type="paragraph" w:styleId="Subtitle">
    <w:name w:val="Subtitle"/>
    <w:basedOn w:val="Normal"/>
    <w:next w:val="Normal"/>
    <w:link w:val="SubtitleChar"/>
    <w:uiPriority w:val="11"/>
    <w:qFormat/>
    <w:rsid w:val="00345019"/>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uiPriority w:val="11"/>
    <w:rsid w:val="00345019"/>
    <w:rPr>
      <w:rFonts w:ascii="Calibri Light" w:eastAsiaTheme="majorEastAsia" w:hAnsi="Calibri Light" w:cstheme="majorBidi"/>
      <w:iCs/>
      <w:color w:val="6BB745" w:themeColor="background2"/>
      <w:sz w:val="28"/>
      <w:szCs w:val="24"/>
    </w:rPr>
  </w:style>
  <w:style w:type="character" w:styleId="Strong">
    <w:name w:val="Strong"/>
    <w:basedOn w:val="DefaultParagraphFont"/>
    <w:uiPriority w:val="22"/>
    <w:qFormat/>
    <w:rsid w:val="00776F5A"/>
    <w:rPr>
      <w:b/>
      <w:bCs/>
    </w:rPr>
  </w:style>
  <w:style w:type="character" w:styleId="Emphasis">
    <w:name w:val="Emphasis"/>
    <w:basedOn w:val="DefaultParagraphFont"/>
    <w:uiPriority w:val="20"/>
    <w:qFormat/>
    <w:rsid w:val="00776F5A"/>
    <w:rPr>
      <w:i/>
      <w:iCs/>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1"/>
    <w:qFormat/>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sz w:val="22"/>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345019"/>
    <w:rPr>
      <w:color w:val="848484" w:themeColor="text1" w:themeTint="99"/>
      <w:sz w:val="24"/>
      <w:szCs w:val="24"/>
    </w:rPr>
  </w:style>
  <w:style w:type="character" w:customStyle="1" w:styleId="LeadInTextChar">
    <w:name w:val="Lead In Text Char"/>
    <w:basedOn w:val="DefaultParagraphFont"/>
    <w:link w:val="LeadInText"/>
    <w:rsid w:val="00345019"/>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261909"/>
    <w:pPr>
      <w:tabs>
        <w:tab w:val="left" w:pos="709"/>
        <w:tab w:val="right" w:leader="dot" w:pos="8495"/>
      </w:tabs>
      <w:spacing w:after="100"/>
    </w:pPr>
    <w:rPr>
      <w:noProof/>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877829"/>
    <w:pPr>
      <w:tabs>
        <w:tab w:val="left" w:pos="390"/>
        <w:tab w:val="right" w:leader="dot" w:pos="8490"/>
      </w:tabs>
      <w:spacing w:after="100"/>
    </w:pPr>
    <w:rPr>
      <w:b/>
      <w:noProof/>
    </w:rPr>
  </w:style>
  <w:style w:type="character" w:styleId="CommentReference">
    <w:name w:val="annotation reference"/>
    <w:basedOn w:val="DefaultParagraphFont"/>
    <w:uiPriority w:val="99"/>
    <w:unhideWhenUsed/>
    <w:rsid w:val="00A411A9"/>
    <w:rPr>
      <w:sz w:val="16"/>
      <w:szCs w:val="16"/>
    </w:rPr>
  </w:style>
  <w:style w:type="paragraph" w:styleId="CommentText">
    <w:name w:val="annotation text"/>
    <w:basedOn w:val="Normal"/>
    <w:link w:val="CommentTextChar"/>
    <w:uiPriority w:val="99"/>
    <w:unhideWhenUsed/>
    <w:rsid w:val="00A411A9"/>
    <w:pPr>
      <w:spacing w:line="240" w:lineRule="auto"/>
    </w:pPr>
    <w:rPr>
      <w:szCs w:val="20"/>
    </w:rPr>
  </w:style>
  <w:style w:type="character" w:customStyle="1" w:styleId="CommentTextChar">
    <w:name w:val="Comment Text Char"/>
    <w:basedOn w:val="DefaultParagraphFont"/>
    <w:link w:val="CommentText"/>
    <w:uiPriority w:val="99"/>
    <w:rsid w:val="00A411A9"/>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A411A9"/>
    <w:rPr>
      <w:b/>
      <w:bCs/>
    </w:rPr>
  </w:style>
  <w:style w:type="character" w:customStyle="1" w:styleId="CommentSubjectChar">
    <w:name w:val="Comment Subject Char"/>
    <w:basedOn w:val="CommentTextChar"/>
    <w:link w:val="CommentSubject"/>
    <w:uiPriority w:val="99"/>
    <w:semiHidden/>
    <w:rsid w:val="00A411A9"/>
    <w:rPr>
      <w:rFonts w:ascii="Calibri Light" w:hAnsi="Calibri Light"/>
      <w:b/>
      <w:bCs/>
      <w:color w:val="333333" w:themeColor="text1"/>
      <w:sz w:val="20"/>
      <w:szCs w:val="20"/>
    </w:rPr>
  </w:style>
  <w:style w:type="table" w:styleId="TableGrid">
    <w:name w:val="Table Grid"/>
    <w:basedOn w:val="TableNormal"/>
    <w:uiPriority w:val="39"/>
    <w:rsid w:val="006A0073"/>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UM">
    <w:name w:val="EIT UM"/>
    <w:basedOn w:val="Title"/>
    <w:link w:val="EITUMChar"/>
    <w:rsid w:val="008A7175"/>
  </w:style>
  <w:style w:type="character" w:customStyle="1" w:styleId="EITUMChar">
    <w:name w:val="EIT UM Char"/>
    <w:basedOn w:val="TitleChar"/>
    <w:link w:val="EITUM"/>
    <w:rsid w:val="008A7175"/>
    <w:rPr>
      <w:rFonts w:ascii="Calibri Light" w:eastAsiaTheme="majorEastAsia" w:hAnsi="Calibri Light" w:cstheme="majorBidi"/>
      <w:bCs/>
      <w:color w:val="034EA2" w:themeColor="text2"/>
      <w:sz w:val="60"/>
      <w:szCs w:val="28"/>
    </w:rPr>
  </w:style>
  <w:style w:type="paragraph" w:customStyle="1" w:styleId="EITUMHeading2">
    <w:name w:val="EIT UM Heading 2"/>
    <w:basedOn w:val="Heading1"/>
    <w:link w:val="EITUMHeading2Char"/>
    <w:rsid w:val="00D93C68"/>
    <w:pPr>
      <w:ind w:firstLine="0"/>
    </w:pPr>
    <w:rPr>
      <w:b/>
      <w:bCs w:val="0"/>
      <w:sz w:val="28"/>
    </w:rPr>
  </w:style>
  <w:style w:type="paragraph" w:customStyle="1" w:styleId="EITUMHeading1">
    <w:name w:val="EITUM Heading 1"/>
    <w:basedOn w:val="Heading1"/>
    <w:link w:val="EITUMHeading1Char"/>
    <w:qFormat/>
    <w:rsid w:val="0005274A"/>
    <w:pPr>
      <w:numPr>
        <w:numId w:val="13"/>
      </w:numPr>
    </w:pPr>
  </w:style>
  <w:style w:type="character" w:customStyle="1" w:styleId="EITUMHeading2Char">
    <w:name w:val="EIT UM Heading 2 Char"/>
    <w:basedOn w:val="Heading1Char"/>
    <w:link w:val="EITUMHeading2"/>
    <w:rsid w:val="00D93C68"/>
    <w:rPr>
      <w:rFonts w:ascii="Calibri Light" w:eastAsiaTheme="majorEastAsia" w:hAnsi="Calibri Light" w:cstheme="majorBidi"/>
      <w:b/>
      <w:bCs w:val="0"/>
      <w:color w:val="034EA2" w:themeColor="text2"/>
      <w:sz w:val="28"/>
      <w:szCs w:val="28"/>
    </w:rPr>
  </w:style>
  <w:style w:type="paragraph" w:customStyle="1" w:styleId="EITUMHeading20">
    <w:name w:val="EITUM Heading 2"/>
    <w:basedOn w:val="EITUMHeading2"/>
    <w:link w:val="EITUMHeading2Char0"/>
    <w:qFormat/>
    <w:rsid w:val="00D93C68"/>
  </w:style>
  <w:style w:type="character" w:customStyle="1" w:styleId="EITUMHeading1Char">
    <w:name w:val="EITUM Heading 1 Char"/>
    <w:basedOn w:val="Heading1Char"/>
    <w:link w:val="EITUMHeading1"/>
    <w:rsid w:val="0005274A"/>
    <w:rPr>
      <w:rFonts w:ascii="Calibri Light" w:eastAsiaTheme="majorEastAsia" w:hAnsi="Calibri Light" w:cstheme="majorBidi"/>
      <w:bCs/>
      <w:color w:val="034EA2" w:themeColor="text2"/>
      <w:sz w:val="60"/>
      <w:szCs w:val="28"/>
    </w:rPr>
  </w:style>
  <w:style w:type="character" w:customStyle="1" w:styleId="EITUMHeading2Char0">
    <w:name w:val="EITUM Heading 2 Char"/>
    <w:basedOn w:val="EITUMHeading2Char"/>
    <w:link w:val="EITUMHeading20"/>
    <w:rsid w:val="00D93C68"/>
    <w:rPr>
      <w:rFonts w:ascii="Calibri Light" w:eastAsiaTheme="majorEastAsia" w:hAnsi="Calibri Light" w:cstheme="majorBidi"/>
      <w:b/>
      <w:bCs w:val="0"/>
      <w:color w:val="034EA2" w:themeColor="text2"/>
      <w:sz w:val="28"/>
      <w:szCs w:val="28"/>
    </w:rPr>
  </w:style>
  <w:style w:type="paragraph" w:customStyle="1" w:styleId="heading30">
    <w:name w:val="heading3"/>
    <w:basedOn w:val="Heading8"/>
    <w:link w:val="heading3Char0"/>
    <w:qFormat/>
    <w:rsid w:val="002950A2"/>
    <w:pPr>
      <w:spacing w:before="40"/>
    </w:pPr>
    <w:rPr>
      <w:color w:val="004494"/>
      <w:sz w:val="24"/>
      <w:szCs w:val="21"/>
      <w:lang w:eastAsia="sv-SE"/>
    </w:rPr>
  </w:style>
  <w:style w:type="character" w:customStyle="1" w:styleId="heading3Char0">
    <w:name w:val="heading3 Char"/>
    <w:basedOn w:val="Heading8Char"/>
    <w:link w:val="heading30"/>
    <w:rsid w:val="002950A2"/>
    <w:rPr>
      <w:rFonts w:asciiTheme="majorHAnsi" w:eastAsiaTheme="majorEastAsia" w:hAnsiTheme="majorHAnsi" w:cstheme="majorBidi"/>
      <w:color w:val="004494"/>
      <w:sz w:val="24"/>
      <w:szCs w:val="21"/>
      <w:lang w:eastAsia="sv-SE"/>
    </w:rPr>
  </w:style>
  <w:style w:type="paragraph" w:styleId="BodyText">
    <w:name w:val="Body Text"/>
    <w:basedOn w:val="Normal"/>
    <w:link w:val="BodyTextChar"/>
    <w:uiPriority w:val="1"/>
    <w:unhideWhenUsed/>
    <w:qFormat/>
    <w:rsid w:val="003E3E53"/>
    <w:pPr>
      <w:spacing w:after="120"/>
    </w:pPr>
  </w:style>
  <w:style w:type="character" w:customStyle="1" w:styleId="BodyTextChar">
    <w:name w:val="Body Text Char"/>
    <w:basedOn w:val="DefaultParagraphFont"/>
    <w:link w:val="BodyText"/>
    <w:uiPriority w:val="99"/>
    <w:rsid w:val="003E3E53"/>
    <w:rPr>
      <w:rFonts w:ascii="Calibri Light" w:hAnsi="Calibri Light"/>
      <w:color w:val="333333" w:themeColor="text1"/>
      <w:sz w:val="20"/>
    </w:rPr>
  </w:style>
  <w:style w:type="paragraph" w:styleId="BodyText2">
    <w:name w:val="Body Text 2"/>
    <w:basedOn w:val="Normal"/>
    <w:link w:val="BodyText2Char"/>
    <w:uiPriority w:val="99"/>
    <w:semiHidden/>
    <w:unhideWhenUsed/>
    <w:rsid w:val="007A4EF2"/>
    <w:pPr>
      <w:spacing w:after="120" w:line="480" w:lineRule="auto"/>
    </w:pPr>
  </w:style>
  <w:style w:type="character" w:customStyle="1" w:styleId="BodyText2Char">
    <w:name w:val="Body Text 2 Char"/>
    <w:basedOn w:val="DefaultParagraphFont"/>
    <w:link w:val="BodyText2"/>
    <w:uiPriority w:val="99"/>
    <w:semiHidden/>
    <w:rsid w:val="007A4EF2"/>
    <w:rPr>
      <w:rFonts w:ascii="Calibri Light" w:hAnsi="Calibri Light"/>
      <w:color w:val="333333" w:themeColor="text1"/>
      <w:sz w:val="20"/>
    </w:rPr>
  </w:style>
  <w:style w:type="table" w:customStyle="1" w:styleId="TableGrid1">
    <w:name w:val="Table Grid1"/>
    <w:basedOn w:val="TableNormal"/>
    <w:next w:val="TableGrid"/>
    <w:uiPriority w:val="59"/>
    <w:rsid w:val="007A4E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5B74"/>
    <w:pPr>
      <w:spacing w:after="0" w:line="240" w:lineRule="auto"/>
    </w:pPr>
    <w:rPr>
      <w:szCs w:val="20"/>
    </w:rPr>
  </w:style>
  <w:style w:type="character" w:customStyle="1" w:styleId="FootnoteTextChar">
    <w:name w:val="Footnote Text Char"/>
    <w:basedOn w:val="DefaultParagraphFont"/>
    <w:link w:val="FootnoteText"/>
    <w:uiPriority w:val="99"/>
    <w:semiHidden/>
    <w:rsid w:val="00BF5B74"/>
    <w:rPr>
      <w:rFonts w:ascii="Calibri Light" w:hAnsi="Calibri Light"/>
      <w:color w:val="333333" w:themeColor="text1"/>
      <w:sz w:val="20"/>
      <w:szCs w:val="20"/>
    </w:rPr>
  </w:style>
  <w:style w:type="character" w:styleId="FootnoteReference">
    <w:name w:val="footnote reference"/>
    <w:basedOn w:val="DefaultParagraphFont"/>
    <w:uiPriority w:val="99"/>
    <w:semiHidden/>
    <w:unhideWhenUsed/>
    <w:rsid w:val="00BF5B74"/>
    <w:rPr>
      <w:vertAlign w:val="superscript"/>
    </w:rPr>
  </w:style>
  <w:style w:type="paragraph" w:customStyle="1" w:styleId="pf0">
    <w:name w:val="pf0"/>
    <w:basedOn w:val="Normal"/>
    <w:rsid w:val="00FE1DB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FE1DB3"/>
    <w:rPr>
      <w:rFonts w:ascii="Segoe UI" w:hAnsi="Segoe UI" w:cs="Segoe UI" w:hint="default"/>
      <w:sz w:val="18"/>
      <w:szCs w:val="18"/>
    </w:rPr>
  </w:style>
  <w:style w:type="table" w:customStyle="1" w:styleId="TableGrid3">
    <w:name w:val="Table Grid3"/>
    <w:basedOn w:val="TableNormal"/>
    <w:next w:val="TableGrid"/>
    <w:uiPriority w:val="59"/>
    <w:rsid w:val="003C56FE"/>
    <w:rPr>
      <w:rFonts w:eastAsia="MS Mincho"/>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13E8"/>
    <w:pPr>
      <w:spacing w:after="0" w:line="240" w:lineRule="auto"/>
    </w:pPr>
    <w:rPr>
      <w:rFonts w:ascii="Calibri Light" w:hAnsi="Calibri Light"/>
      <w:color w:val="333333" w:themeColor="text1"/>
      <w:sz w:val="20"/>
    </w:rPr>
  </w:style>
  <w:style w:type="character" w:styleId="UnresolvedMention">
    <w:name w:val="Unresolved Mention"/>
    <w:basedOn w:val="DefaultParagraphFont"/>
    <w:uiPriority w:val="99"/>
    <w:semiHidden/>
    <w:unhideWhenUsed/>
    <w:rsid w:val="004A13E8"/>
    <w:rPr>
      <w:color w:val="605E5C"/>
      <w:shd w:val="clear" w:color="auto" w:fill="E1DFDD"/>
    </w:rPr>
  </w:style>
  <w:style w:type="character" w:styleId="Mention">
    <w:name w:val="Mention"/>
    <w:basedOn w:val="DefaultParagraphFont"/>
    <w:uiPriority w:val="99"/>
    <w:unhideWhenUsed/>
    <w:rsid w:val="00DB1A32"/>
    <w:rPr>
      <w:color w:val="2B579A"/>
      <w:shd w:val="clear" w:color="auto" w:fill="E1DFDD"/>
    </w:rPr>
  </w:style>
  <w:style w:type="table" w:customStyle="1" w:styleId="TableGrid2">
    <w:name w:val="Table Grid2"/>
    <w:basedOn w:val="TableNormal"/>
    <w:next w:val="TableGrid"/>
    <w:uiPriority w:val="39"/>
    <w:rsid w:val="0009041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041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c429738dmsobodytext2">
    <w:name w:val="ydpc429738dmsobodytext2"/>
    <w:basedOn w:val="Normal"/>
    <w:rsid w:val="00037EC6"/>
    <w:pPr>
      <w:spacing w:before="100" w:beforeAutospacing="1" w:after="100" w:afterAutospacing="1" w:line="240" w:lineRule="auto"/>
    </w:pPr>
    <w:rPr>
      <w:rFonts w:ascii="Times New Roman" w:eastAsia="Times New Roman" w:hAnsi="Times New Roman" w:cs="Times New Roman"/>
      <w:color w:val="auto"/>
      <w:sz w:val="24"/>
      <w:szCs w:val="24"/>
      <w:lang w:val="hu-HU" w:eastAsia="hu-HU"/>
    </w:rPr>
  </w:style>
  <w:style w:type="numbering" w:customStyle="1" w:styleId="Style1">
    <w:name w:val="Style1"/>
    <w:uiPriority w:val="99"/>
    <w:rsid w:val="00FE4E10"/>
    <w:pPr>
      <w:numPr>
        <w:numId w:val="19"/>
      </w:numPr>
    </w:pPr>
  </w:style>
  <w:style w:type="character" w:styleId="FollowedHyperlink">
    <w:name w:val="FollowedHyperlink"/>
    <w:basedOn w:val="DefaultParagraphFont"/>
    <w:uiPriority w:val="99"/>
    <w:semiHidden/>
    <w:unhideWhenUsed/>
    <w:rsid w:val="00E7373F"/>
    <w:rPr>
      <w:color w:val="333333" w:themeColor="followedHyperlink"/>
      <w:u w:val="single"/>
    </w:rPr>
  </w:style>
  <w:style w:type="numbering" w:customStyle="1" w:styleId="NoList1">
    <w:name w:val="No List1"/>
    <w:next w:val="NoList"/>
    <w:uiPriority w:val="99"/>
    <w:semiHidden/>
    <w:unhideWhenUsed/>
    <w:rsid w:val="00DE6385"/>
  </w:style>
  <w:style w:type="paragraph" w:customStyle="1" w:styleId="TableParagraph">
    <w:name w:val="Table Paragraph"/>
    <w:basedOn w:val="Normal"/>
    <w:uiPriority w:val="1"/>
    <w:qFormat/>
    <w:rsid w:val="00DE6385"/>
    <w:pPr>
      <w:widowControl w:val="0"/>
      <w:autoSpaceDE w:val="0"/>
      <w:autoSpaceDN w:val="0"/>
      <w:spacing w:after="0" w:line="240" w:lineRule="auto"/>
    </w:pPr>
    <w:rPr>
      <w:rFonts w:eastAsia="Calibri Light" w:cs="Calibri Light"/>
      <w:color w:val="auto"/>
      <w:sz w:val="22"/>
      <w:lang w:val="en-US"/>
    </w:rPr>
  </w:style>
  <w:style w:type="paragraph" w:customStyle="1" w:styleId="paragraph">
    <w:name w:val="paragraph"/>
    <w:basedOn w:val="Normal"/>
    <w:qFormat/>
    <w:rsid w:val="00D8232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qFormat/>
    <w:rsid w:val="00D82327"/>
  </w:style>
  <w:style w:type="character" w:customStyle="1" w:styleId="eop">
    <w:name w:val="eop"/>
    <w:basedOn w:val="DefaultParagraphFont"/>
    <w:qFormat/>
    <w:rsid w:val="00D82327"/>
  </w:style>
  <w:style w:type="paragraph" w:styleId="NoSpacing">
    <w:name w:val="No Spacing"/>
    <w:uiPriority w:val="1"/>
    <w:qFormat/>
    <w:rsid w:val="00CF1AD2"/>
    <w:pPr>
      <w:spacing w:after="0" w:line="240" w:lineRule="auto"/>
    </w:pPr>
    <w:rPr>
      <w:rFonts w:ascii="Arial" w:eastAsiaTheme="minorHAnsi" w:hAnsi="Arial"/>
      <w:lang w:val="es-ES"/>
    </w:rPr>
  </w:style>
  <w:style w:type="paragraph" w:customStyle="1" w:styleId="heading2numbered">
    <w:name w:val="heading_2_numbered"/>
    <w:basedOn w:val="EITUMHeading20"/>
    <w:link w:val="heading2numberedChar"/>
    <w:qFormat/>
    <w:rsid w:val="007D78B3"/>
    <w:pPr>
      <w:numPr>
        <w:ilvl w:val="1"/>
        <w:numId w:val="21"/>
      </w:numPr>
    </w:pPr>
  </w:style>
  <w:style w:type="character" w:customStyle="1" w:styleId="heading2numberedChar">
    <w:name w:val="heading_2_numbered Char"/>
    <w:basedOn w:val="EITUMHeading2Char0"/>
    <w:link w:val="heading2numbered"/>
    <w:rsid w:val="007D78B3"/>
    <w:rPr>
      <w:rFonts w:ascii="Calibri Light" w:eastAsiaTheme="majorEastAsia" w:hAnsi="Calibri Light" w:cstheme="majorBidi"/>
      <w:b/>
      <w:bCs w:val="0"/>
      <w:color w:val="034EA2" w:themeColor="text2"/>
      <w:sz w:val="28"/>
      <w:szCs w:val="28"/>
    </w:rPr>
  </w:style>
  <w:style w:type="paragraph" w:customStyle="1" w:styleId="heading3numbered">
    <w:name w:val="heading_3_numbered"/>
    <w:basedOn w:val="heading2numbered"/>
    <w:link w:val="heading3numberedChar"/>
    <w:qFormat/>
    <w:rsid w:val="007D78B3"/>
    <w:pPr>
      <w:numPr>
        <w:ilvl w:val="2"/>
        <w:numId w:val="22"/>
      </w:numPr>
    </w:pPr>
  </w:style>
  <w:style w:type="character" w:customStyle="1" w:styleId="heading3numberedChar">
    <w:name w:val="heading_3_numbered Char"/>
    <w:basedOn w:val="heading2numberedChar"/>
    <w:link w:val="heading3numbered"/>
    <w:rsid w:val="007D78B3"/>
    <w:rPr>
      <w:rFonts w:ascii="Calibri Light" w:eastAsiaTheme="majorEastAsia" w:hAnsi="Calibri Light" w:cstheme="majorBidi"/>
      <w:b/>
      <w:bCs w:val="0"/>
      <w:color w:val="034EA2" w:themeColor="text2"/>
      <w:sz w:val="28"/>
      <w:szCs w:val="28"/>
    </w:rPr>
  </w:style>
  <w:style w:type="paragraph" w:customStyle="1" w:styleId="heading3numgreen">
    <w:name w:val="heading_3_num_green"/>
    <w:basedOn w:val="ListParagraph"/>
    <w:link w:val="heading3numgreenChar"/>
    <w:qFormat/>
    <w:rsid w:val="00880EAB"/>
    <w:pPr>
      <w:numPr>
        <w:ilvl w:val="2"/>
        <w:numId w:val="13"/>
      </w:numPr>
      <w:spacing w:before="240" w:after="120"/>
      <w:jc w:val="both"/>
    </w:pPr>
    <w:rPr>
      <w:rFonts w:eastAsiaTheme="majorEastAsia" w:cstheme="majorBidi"/>
      <w:b/>
      <w:bCs/>
      <w:color w:val="6BB745" w:themeColor="background2"/>
      <w:sz w:val="28"/>
      <w:szCs w:val="28"/>
    </w:rPr>
  </w:style>
  <w:style w:type="character" w:customStyle="1" w:styleId="heading3numgreenChar">
    <w:name w:val="heading_3_num_green Char"/>
    <w:basedOn w:val="ListParagraphChar"/>
    <w:link w:val="heading3numgreen"/>
    <w:rsid w:val="00880EAB"/>
    <w:rPr>
      <w:rFonts w:ascii="Calibri Light" w:eastAsiaTheme="majorEastAsia" w:hAnsi="Calibri Light" w:cstheme="majorBidi"/>
      <w:b/>
      <w:bCs/>
      <w:color w:val="6BB745" w:themeColor="background2"/>
      <w:sz w:val="28"/>
      <w:szCs w:val="28"/>
    </w:rPr>
  </w:style>
  <w:style w:type="numbering" w:customStyle="1" w:styleId="Llistaactiva1">
    <w:name w:val="Llista activa1"/>
    <w:uiPriority w:val="99"/>
    <w:rsid w:val="00475B51"/>
    <w:pPr>
      <w:numPr>
        <w:numId w:val="23"/>
      </w:numPr>
    </w:pPr>
  </w:style>
  <w:style w:type="character" w:customStyle="1" w:styleId="Heading5Char">
    <w:name w:val="Heading 5 Char"/>
    <w:basedOn w:val="DefaultParagraphFont"/>
    <w:link w:val="Heading5"/>
    <w:uiPriority w:val="9"/>
    <w:rsid w:val="009703CB"/>
    <w:rPr>
      <w:rFonts w:asciiTheme="majorHAnsi" w:eastAsiaTheme="majorEastAsia" w:hAnsiTheme="majorHAnsi" w:cstheme="majorBidi"/>
      <w:color w:val="23A2E4" w:themeColor="accent1" w:themeShade="BF"/>
      <w:sz w:val="20"/>
    </w:rPr>
  </w:style>
  <w:style w:type="paragraph" w:styleId="NormalWeb">
    <w:name w:val="Normal (Web)"/>
    <w:basedOn w:val="Normal"/>
    <w:uiPriority w:val="99"/>
    <w:unhideWhenUsed/>
    <w:rsid w:val="009703CB"/>
    <w:pPr>
      <w:spacing w:before="240" w:after="0" w:line="240" w:lineRule="auto"/>
      <w:jc w:val="both"/>
    </w:pPr>
    <w:rPr>
      <w:rFonts w:ascii="Times New Roman" w:eastAsia="Calibri" w:hAnsi="Times New Roman" w:cs="Times New Roman"/>
      <w:color w:val="auto"/>
      <w:sz w:val="24"/>
      <w:szCs w:val="24"/>
      <w:lang w:val="hu-HU" w:eastAsia="hu-HU"/>
    </w:rPr>
  </w:style>
  <w:style w:type="paragraph" w:styleId="ListBullet">
    <w:name w:val="List Bullet"/>
    <w:basedOn w:val="Normal"/>
    <w:next w:val="Normal"/>
    <w:link w:val="ListBulletChar"/>
    <w:rsid w:val="009703CB"/>
    <w:pPr>
      <w:numPr>
        <w:numId w:val="48"/>
      </w:numPr>
      <w:spacing w:before="240" w:after="0"/>
      <w:jc w:val="both"/>
    </w:pPr>
    <w:rPr>
      <w:rFonts w:eastAsia="Arial" w:cs="Times New Roman"/>
      <w:snapToGrid w:val="0"/>
      <w:color w:val="auto"/>
      <w:sz w:val="22"/>
      <w:szCs w:val="20"/>
    </w:rPr>
  </w:style>
  <w:style w:type="character" w:customStyle="1" w:styleId="ListBulletChar">
    <w:name w:val="List Bullet Char"/>
    <w:link w:val="ListBullet"/>
    <w:rsid w:val="009703CB"/>
    <w:rPr>
      <w:rFonts w:ascii="Calibri Light" w:eastAsia="Arial" w:hAnsi="Calibri Light" w:cs="Times New Roman"/>
      <w:snapToGrid w:val="0"/>
      <w:szCs w:val="20"/>
    </w:rPr>
  </w:style>
  <w:style w:type="paragraph" w:customStyle="1" w:styleId="msonormal0">
    <w:name w:val="msonormal"/>
    <w:basedOn w:val="Normal"/>
    <w:rsid w:val="009703CB"/>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textrun">
    <w:name w:val="textrun"/>
    <w:basedOn w:val="DefaultParagraphFont"/>
    <w:rsid w:val="009703CB"/>
  </w:style>
  <w:style w:type="paragraph" w:customStyle="1" w:styleId="outlineelement">
    <w:name w:val="outlineelement"/>
    <w:basedOn w:val="Normal"/>
    <w:rsid w:val="009703CB"/>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superscript">
    <w:name w:val="superscript"/>
    <w:basedOn w:val="DefaultParagraphFont"/>
    <w:rsid w:val="009703CB"/>
  </w:style>
  <w:style w:type="character" w:customStyle="1" w:styleId="pagebreakblob">
    <w:name w:val="pagebreakblob"/>
    <w:basedOn w:val="DefaultParagraphFont"/>
    <w:rsid w:val="009703CB"/>
  </w:style>
  <w:style w:type="character" w:customStyle="1" w:styleId="pagebreakborderspan">
    <w:name w:val="pagebreakborderspan"/>
    <w:basedOn w:val="DefaultParagraphFont"/>
    <w:rsid w:val="009703CB"/>
  </w:style>
  <w:style w:type="character" w:customStyle="1" w:styleId="pagebreaktextspan">
    <w:name w:val="pagebreaktextspan"/>
    <w:basedOn w:val="DefaultParagraphFont"/>
    <w:rsid w:val="009703CB"/>
  </w:style>
  <w:style w:type="character" w:customStyle="1" w:styleId="tabrun">
    <w:name w:val="tabrun"/>
    <w:basedOn w:val="DefaultParagraphFont"/>
    <w:rsid w:val="009703CB"/>
  </w:style>
  <w:style w:type="character" w:customStyle="1" w:styleId="tabchar">
    <w:name w:val="tabchar"/>
    <w:basedOn w:val="DefaultParagraphFont"/>
    <w:rsid w:val="009703CB"/>
  </w:style>
  <w:style w:type="character" w:customStyle="1" w:styleId="tableaderchars">
    <w:name w:val="tableaderchars"/>
    <w:basedOn w:val="DefaultParagraphFont"/>
    <w:rsid w:val="009703CB"/>
  </w:style>
  <w:style w:type="paragraph" w:customStyle="1" w:styleId="Default">
    <w:name w:val="Default"/>
    <w:rsid w:val="009703CB"/>
    <w:pPr>
      <w:autoSpaceDE w:val="0"/>
      <w:autoSpaceDN w:val="0"/>
      <w:adjustRightInd w:val="0"/>
      <w:spacing w:after="0" w:line="240" w:lineRule="auto"/>
    </w:pPr>
    <w:rPr>
      <w:rFonts w:ascii="Calibri Light" w:hAnsi="Calibri Light" w:cs="Calibri Light"/>
      <w:color w:val="000000"/>
      <w:sz w:val="24"/>
      <w:szCs w:val="24"/>
    </w:rPr>
  </w:style>
  <w:style w:type="paragraph" w:styleId="TOC4">
    <w:name w:val="toc 4"/>
    <w:basedOn w:val="Normal"/>
    <w:next w:val="Normal"/>
    <w:autoRedefine/>
    <w:uiPriority w:val="39"/>
    <w:unhideWhenUsed/>
    <w:rsid w:val="009703CB"/>
    <w:pPr>
      <w:spacing w:after="100" w:line="278" w:lineRule="auto"/>
      <w:ind w:left="720"/>
    </w:pPr>
    <w:rPr>
      <w:rFonts w:asciiTheme="minorHAnsi" w:hAnsiTheme="minorHAnsi"/>
      <w:color w:val="auto"/>
      <w:kern w:val="2"/>
      <w:sz w:val="24"/>
      <w:szCs w:val="24"/>
      <w:lang w:eastAsia="en-GB"/>
      <w14:ligatures w14:val="standardContextual"/>
    </w:rPr>
  </w:style>
  <w:style w:type="paragraph" w:styleId="TOC5">
    <w:name w:val="toc 5"/>
    <w:basedOn w:val="Normal"/>
    <w:next w:val="Normal"/>
    <w:autoRedefine/>
    <w:uiPriority w:val="39"/>
    <w:unhideWhenUsed/>
    <w:rsid w:val="009703CB"/>
    <w:pPr>
      <w:spacing w:after="100" w:line="278" w:lineRule="auto"/>
      <w:ind w:left="960"/>
    </w:pPr>
    <w:rPr>
      <w:rFonts w:asciiTheme="minorHAnsi" w:hAnsiTheme="minorHAnsi"/>
      <w:color w:val="auto"/>
      <w:kern w:val="2"/>
      <w:sz w:val="24"/>
      <w:szCs w:val="24"/>
      <w:lang w:eastAsia="en-GB"/>
      <w14:ligatures w14:val="standardContextual"/>
    </w:rPr>
  </w:style>
  <w:style w:type="paragraph" w:styleId="TOC6">
    <w:name w:val="toc 6"/>
    <w:basedOn w:val="Normal"/>
    <w:next w:val="Normal"/>
    <w:autoRedefine/>
    <w:uiPriority w:val="39"/>
    <w:unhideWhenUsed/>
    <w:rsid w:val="009703CB"/>
    <w:pPr>
      <w:spacing w:after="100" w:line="278" w:lineRule="auto"/>
      <w:ind w:left="1200"/>
    </w:pPr>
    <w:rPr>
      <w:rFonts w:asciiTheme="minorHAnsi" w:hAnsiTheme="minorHAnsi"/>
      <w:color w:val="auto"/>
      <w:kern w:val="2"/>
      <w:sz w:val="24"/>
      <w:szCs w:val="24"/>
      <w:lang w:eastAsia="en-GB"/>
      <w14:ligatures w14:val="standardContextual"/>
    </w:rPr>
  </w:style>
  <w:style w:type="paragraph" w:styleId="TOC7">
    <w:name w:val="toc 7"/>
    <w:basedOn w:val="Normal"/>
    <w:next w:val="Normal"/>
    <w:autoRedefine/>
    <w:uiPriority w:val="39"/>
    <w:unhideWhenUsed/>
    <w:rsid w:val="009703CB"/>
    <w:pPr>
      <w:spacing w:after="100" w:line="278" w:lineRule="auto"/>
      <w:ind w:left="1440"/>
    </w:pPr>
    <w:rPr>
      <w:rFonts w:asciiTheme="minorHAnsi" w:hAnsiTheme="minorHAnsi"/>
      <w:color w:val="auto"/>
      <w:kern w:val="2"/>
      <w:sz w:val="24"/>
      <w:szCs w:val="24"/>
      <w:lang w:eastAsia="en-GB"/>
      <w14:ligatures w14:val="standardContextual"/>
    </w:rPr>
  </w:style>
  <w:style w:type="paragraph" w:styleId="TOC8">
    <w:name w:val="toc 8"/>
    <w:basedOn w:val="Normal"/>
    <w:next w:val="Normal"/>
    <w:autoRedefine/>
    <w:uiPriority w:val="39"/>
    <w:unhideWhenUsed/>
    <w:rsid w:val="009703CB"/>
    <w:pPr>
      <w:spacing w:after="100" w:line="278" w:lineRule="auto"/>
      <w:ind w:left="1680"/>
    </w:pPr>
    <w:rPr>
      <w:rFonts w:asciiTheme="minorHAnsi" w:hAnsiTheme="minorHAnsi"/>
      <w:color w:val="auto"/>
      <w:kern w:val="2"/>
      <w:sz w:val="24"/>
      <w:szCs w:val="24"/>
      <w:lang w:eastAsia="en-GB"/>
      <w14:ligatures w14:val="standardContextual"/>
    </w:rPr>
  </w:style>
  <w:style w:type="paragraph" w:styleId="TOC9">
    <w:name w:val="toc 9"/>
    <w:basedOn w:val="Normal"/>
    <w:next w:val="Normal"/>
    <w:autoRedefine/>
    <w:uiPriority w:val="39"/>
    <w:unhideWhenUsed/>
    <w:rsid w:val="009703CB"/>
    <w:pPr>
      <w:spacing w:after="100" w:line="278" w:lineRule="auto"/>
      <w:ind w:left="1920"/>
    </w:pPr>
    <w:rPr>
      <w:rFonts w:asciiTheme="minorHAnsi" w:hAnsiTheme="minorHAnsi"/>
      <w:color w:val="auto"/>
      <w:kern w:val="2"/>
      <w:sz w:val="24"/>
      <w:szCs w:val="24"/>
      <w:lang w:eastAsia="en-GB"/>
      <w14:ligatures w14:val="standardContextual"/>
    </w:rPr>
  </w:style>
  <w:style w:type="table" w:customStyle="1" w:styleId="TableGrid31">
    <w:name w:val="Table Grid31"/>
    <w:basedOn w:val="TableNormal"/>
    <w:next w:val="TableGrid"/>
    <w:uiPriority w:val="59"/>
    <w:rsid w:val="009703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703CB"/>
  </w:style>
  <w:style w:type="character" w:customStyle="1" w:styleId="scxw211702395">
    <w:name w:val="scxw211702395"/>
    <w:basedOn w:val="DefaultParagraphFont"/>
    <w:rsid w:val="009703CB"/>
  </w:style>
  <w:style w:type="table" w:customStyle="1" w:styleId="TableGrid0">
    <w:name w:val="TableGrid"/>
    <w:rsid w:val="009703CB"/>
    <w:pPr>
      <w:spacing w:after="0" w:line="240" w:lineRule="auto"/>
    </w:pPr>
    <w:rPr>
      <w:kern w:val="2"/>
      <w:sz w:val="24"/>
      <w:szCs w:val="24"/>
      <w:lang w:val="es-ES" w:eastAsia="es-ES_tradnl"/>
      <w14:ligatures w14:val="standardContextual"/>
    </w:rPr>
    <w:tblPr>
      <w:tblCellMar>
        <w:top w:w="0" w:type="dxa"/>
        <w:left w:w="0" w:type="dxa"/>
        <w:bottom w:w="0" w:type="dxa"/>
        <w:right w:w="0" w:type="dxa"/>
      </w:tblCellMar>
    </w:tblPr>
  </w:style>
  <w:style w:type="character" w:customStyle="1" w:styleId="fontstyle01">
    <w:name w:val="fontstyle01"/>
    <w:basedOn w:val="DefaultParagraphFont"/>
    <w:qFormat/>
    <w:rsid w:val="009703CB"/>
    <w:rPr>
      <w:rFonts w:ascii="Calibri-Light" w:hAnsi="Calibri-Light"/>
      <w:b w:val="0"/>
      <w:bCs w:val="0"/>
      <w:i w:val="0"/>
      <w:iCs w:val="0"/>
      <w:color w:val="333333"/>
      <w:sz w:val="20"/>
      <w:szCs w:val="20"/>
    </w:rPr>
  </w:style>
  <w:style w:type="character" w:customStyle="1" w:styleId="fontstyle21">
    <w:name w:val="fontstyle21"/>
    <w:basedOn w:val="DefaultParagraphFont"/>
    <w:qFormat/>
    <w:rsid w:val="009703CB"/>
    <w:rPr>
      <w:rFonts w:ascii="SymbolMT" w:hAnsi="SymbolMT"/>
      <w:b w:val="0"/>
      <w:bCs w:val="0"/>
      <w:i w:val="0"/>
      <w:iCs w:val="0"/>
      <w:color w:val="333333"/>
      <w:sz w:val="20"/>
      <w:szCs w:val="20"/>
    </w:rPr>
  </w:style>
  <w:style w:type="character" w:customStyle="1" w:styleId="scxw168593343">
    <w:name w:val="scxw168593343"/>
    <w:basedOn w:val="DefaultParagraphFont"/>
    <w:rsid w:val="009703CB"/>
  </w:style>
  <w:style w:type="character" w:customStyle="1" w:styleId="scxw81654646">
    <w:name w:val="scxw81654646"/>
    <w:basedOn w:val="DefaultParagraphFont"/>
    <w:rsid w:val="00970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8246">
      <w:bodyDiv w:val="1"/>
      <w:marLeft w:val="0"/>
      <w:marRight w:val="0"/>
      <w:marTop w:val="0"/>
      <w:marBottom w:val="0"/>
      <w:divBdr>
        <w:top w:val="none" w:sz="0" w:space="0" w:color="auto"/>
        <w:left w:val="none" w:sz="0" w:space="0" w:color="auto"/>
        <w:bottom w:val="none" w:sz="0" w:space="0" w:color="auto"/>
        <w:right w:val="none" w:sz="0" w:space="0" w:color="auto"/>
      </w:divBdr>
      <w:divsChild>
        <w:div w:id="234121507">
          <w:marLeft w:val="0"/>
          <w:marRight w:val="0"/>
          <w:marTop w:val="0"/>
          <w:marBottom w:val="0"/>
          <w:divBdr>
            <w:top w:val="none" w:sz="0" w:space="0" w:color="auto"/>
            <w:left w:val="none" w:sz="0" w:space="0" w:color="auto"/>
            <w:bottom w:val="none" w:sz="0" w:space="0" w:color="auto"/>
            <w:right w:val="none" w:sz="0" w:space="0" w:color="auto"/>
          </w:divBdr>
        </w:div>
      </w:divsChild>
    </w:div>
    <w:div w:id="117377781">
      <w:bodyDiv w:val="1"/>
      <w:marLeft w:val="0"/>
      <w:marRight w:val="0"/>
      <w:marTop w:val="0"/>
      <w:marBottom w:val="0"/>
      <w:divBdr>
        <w:top w:val="none" w:sz="0" w:space="0" w:color="auto"/>
        <w:left w:val="none" w:sz="0" w:space="0" w:color="auto"/>
        <w:bottom w:val="none" w:sz="0" w:space="0" w:color="auto"/>
        <w:right w:val="none" w:sz="0" w:space="0" w:color="auto"/>
      </w:divBdr>
    </w:div>
    <w:div w:id="238684849">
      <w:bodyDiv w:val="1"/>
      <w:marLeft w:val="0"/>
      <w:marRight w:val="0"/>
      <w:marTop w:val="0"/>
      <w:marBottom w:val="0"/>
      <w:divBdr>
        <w:top w:val="none" w:sz="0" w:space="0" w:color="auto"/>
        <w:left w:val="none" w:sz="0" w:space="0" w:color="auto"/>
        <w:bottom w:val="none" w:sz="0" w:space="0" w:color="auto"/>
        <w:right w:val="none" w:sz="0" w:space="0" w:color="auto"/>
      </w:divBdr>
    </w:div>
    <w:div w:id="279385041">
      <w:bodyDiv w:val="1"/>
      <w:marLeft w:val="0"/>
      <w:marRight w:val="0"/>
      <w:marTop w:val="0"/>
      <w:marBottom w:val="0"/>
      <w:divBdr>
        <w:top w:val="none" w:sz="0" w:space="0" w:color="auto"/>
        <w:left w:val="none" w:sz="0" w:space="0" w:color="auto"/>
        <w:bottom w:val="none" w:sz="0" w:space="0" w:color="auto"/>
        <w:right w:val="none" w:sz="0" w:space="0" w:color="auto"/>
      </w:divBdr>
      <w:divsChild>
        <w:div w:id="257564101">
          <w:marLeft w:val="0"/>
          <w:marRight w:val="0"/>
          <w:marTop w:val="0"/>
          <w:marBottom w:val="0"/>
          <w:divBdr>
            <w:top w:val="none" w:sz="0" w:space="0" w:color="auto"/>
            <w:left w:val="none" w:sz="0" w:space="0" w:color="auto"/>
            <w:bottom w:val="none" w:sz="0" w:space="0" w:color="auto"/>
            <w:right w:val="none" w:sz="0" w:space="0" w:color="auto"/>
          </w:divBdr>
          <w:divsChild>
            <w:div w:id="632560639">
              <w:marLeft w:val="0"/>
              <w:marRight w:val="0"/>
              <w:marTop w:val="0"/>
              <w:marBottom w:val="0"/>
              <w:divBdr>
                <w:top w:val="none" w:sz="0" w:space="0" w:color="auto"/>
                <w:left w:val="none" w:sz="0" w:space="0" w:color="auto"/>
                <w:bottom w:val="none" w:sz="0" w:space="0" w:color="auto"/>
                <w:right w:val="none" w:sz="0" w:space="0" w:color="auto"/>
              </w:divBdr>
            </w:div>
          </w:divsChild>
        </w:div>
        <w:div w:id="1855341670">
          <w:marLeft w:val="0"/>
          <w:marRight w:val="0"/>
          <w:marTop w:val="0"/>
          <w:marBottom w:val="0"/>
          <w:divBdr>
            <w:top w:val="none" w:sz="0" w:space="0" w:color="auto"/>
            <w:left w:val="none" w:sz="0" w:space="0" w:color="auto"/>
            <w:bottom w:val="none" w:sz="0" w:space="0" w:color="auto"/>
            <w:right w:val="none" w:sz="0" w:space="0" w:color="auto"/>
          </w:divBdr>
          <w:divsChild>
            <w:div w:id="13983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32682">
      <w:bodyDiv w:val="1"/>
      <w:marLeft w:val="0"/>
      <w:marRight w:val="0"/>
      <w:marTop w:val="0"/>
      <w:marBottom w:val="0"/>
      <w:divBdr>
        <w:top w:val="none" w:sz="0" w:space="0" w:color="auto"/>
        <w:left w:val="none" w:sz="0" w:space="0" w:color="auto"/>
        <w:bottom w:val="none" w:sz="0" w:space="0" w:color="auto"/>
        <w:right w:val="none" w:sz="0" w:space="0" w:color="auto"/>
      </w:divBdr>
    </w:div>
    <w:div w:id="397368388">
      <w:bodyDiv w:val="1"/>
      <w:marLeft w:val="0"/>
      <w:marRight w:val="0"/>
      <w:marTop w:val="0"/>
      <w:marBottom w:val="0"/>
      <w:divBdr>
        <w:top w:val="none" w:sz="0" w:space="0" w:color="auto"/>
        <w:left w:val="none" w:sz="0" w:space="0" w:color="auto"/>
        <w:bottom w:val="none" w:sz="0" w:space="0" w:color="auto"/>
        <w:right w:val="none" w:sz="0" w:space="0" w:color="auto"/>
      </w:divBdr>
    </w:div>
    <w:div w:id="437800146">
      <w:bodyDiv w:val="1"/>
      <w:marLeft w:val="0"/>
      <w:marRight w:val="0"/>
      <w:marTop w:val="0"/>
      <w:marBottom w:val="0"/>
      <w:divBdr>
        <w:top w:val="none" w:sz="0" w:space="0" w:color="auto"/>
        <w:left w:val="none" w:sz="0" w:space="0" w:color="auto"/>
        <w:bottom w:val="none" w:sz="0" w:space="0" w:color="auto"/>
        <w:right w:val="none" w:sz="0" w:space="0" w:color="auto"/>
      </w:divBdr>
      <w:divsChild>
        <w:div w:id="19404400">
          <w:marLeft w:val="0"/>
          <w:marRight w:val="0"/>
          <w:marTop w:val="0"/>
          <w:marBottom w:val="0"/>
          <w:divBdr>
            <w:top w:val="none" w:sz="0" w:space="0" w:color="auto"/>
            <w:left w:val="none" w:sz="0" w:space="0" w:color="auto"/>
            <w:bottom w:val="none" w:sz="0" w:space="0" w:color="auto"/>
            <w:right w:val="none" w:sz="0" w:space="0" w:color="auto"/>
          </w:divBdr>
        </w:div>
        <w:div w:id="1360349421">
          <w:marLeft w:val="0"/>
          <w:marRight w:val="0"/>
          <w:marTop w:val="0"/>
          <w:marBottom w:val="0"/>
          <w:divBdr>
            <w:top w:val="none" w:sz="0" w:space="0" w:color="auto"/>
            <w:left w:val="none" w:sz="0" w:space="0" w:color="auto"/>
            <w:bottom w:val="none" w:sz="0" w:space="0" w:color="auto"/>
            <w:right w:val="none" w:sz="0" w:space="0" w:color="auto"/>
          </w:divBdr>
        </w:div>
        <w:div w:id="1069111859">
          <w:marLeft w:val="0"/>
          <w:marRight w:val="0"/>
          <w:marTop w:val="0"/>
          <w:marBottom w:val="0"/>
          <w:divBdr>
            <w:top w:val="none" w:sz="0" w:space="0" w:color="auto"/>
            <w:left w:val="none" w:sz="0" w:space="0" w:color="auto"/>
            <w:bottom w:val="none" w:sz="0" w:space="0" w:color="auto"/>
            <w:right w:val="none" w:sz="0" w:space="0" w:color="auto"/>
          </w:divBdr>
        </w:div>
        <w:div w:id="2007122139">
          <w:marLeft w:val="0"/>
          <w:marRight w:val="0"/>
          <w:marTop w:val="0"/>
          <w:marBottom w:val="0"/>
          <w:divBdr>
            <w:top w:val="none" w:sz="0" w:space="0" w:color="auto"/>
            <w:left w:val="none" w:sz="0" w:space="0" w:color="auto"/>
            <w:bottom w:val="none" w:sz="0" w:space="0" w:color="auto"/>
            <w:right w:val="none" w:sz="0" w:space="0" w:color="auto"/>
          </w:divBdr>
        </w:div>
        <w:div w:id="1039627198">
          <w:marLeft w:val="0"/>
          <w:marRight w:val="0"/>
          <w:marTop w:val="0"/>
          <w:marBottom w:val="0"/>
          <w:divBdr>
            <w:top w:val="none" w:sz="0" w:space="0" w:color="auto"/>
            <w:left w:val="none" w:sz="0" w:space="0" w:color="auto"/>
            <w:bottom w:val="none" w:sz="0" w:space="0" w:color="auto"/>
            <w:right w:val="none" w:sz="0" w:space="0" w:color="auto"/>
          </w:divBdr>
        </w:div>
        <w:div w:id="1874032903">
          <w:marLeft w:val="0"/>
          <w:marRight w:val="0"/>
          <w:marTop w:val="0"/>
          <w:marBottom w:val="0"/>
          <w:divBdr>
            <w:top w:val="none" w:sz="0" w:space="0" w:color="auto"/>
            <w:left w:val="none" w:sz="0" w:space="0" w:color="auto"/>
            <w:bottom w:val="none" w:sz="0" w:space="0" w:color="auto"/>
            <w:right w:val="none" w:sz="0" w:space="0" w:color="auto"/>
          </w:divBdr>
        </w:div>
        <w:div w:id="538053466">
          <w:marLeft w:val="0"/>
          <w:marRight w:val="0"/>
          <w:marTop w:val="0"/>
          <w:marBottom w:val="0"/>
          <w:divBdr>
            <w:top w:val="none" w:sz="0" w:space="0" w:color="auto"/>
            <w:left w:val="none" w:sz="0" w:space="0" w:color="auto"/>
            <w:bottom w:val="none" w:sz="0" w:space="0" w:color="auto"/>
            <w:right w:val="none" w:sz="0" w:space="0" w:color="auto"/>
          </w:divBdr>
        </w:div>
        <w:div w:id="2135437536">
          <w:marLeft w:val="0"/>
          <w:marRight w:val="0"/>
          <w:marTop w:val="0"/>
          <w:marBottom w:val="0"/>
          <w:divBdr>
            <w:top w:val="none" w:sz="0" w:space="0" w:color="auto"/>
            <w:left w:val="none" w:sz="0" w:space="0" w:color="auto"/>
            <w:bottom w:val="none" w:sz="0" w:space="0" w:color="auto"/>
            <w:right w:val="none" w:sz="0" w:space="0" w:color="auto"/>
          </w:divBdr>
        </w:div>
        <w:div w:id="613362875">
          <w:marLeft w:val="0"/>
          <w:marRight w:val="0"/>
          <w:marTop w:val="0"/>
          <w:marBottom w:val="0"/>
          <w:divBdr>
            <w:top w:val="none" w:sz="0" w:space="0" w:color="auto"/>
            <w:left w:val="none" w:sz="0" w:space="0" w:color="auto"/>
            <w:bottom w:val="none" w:sz="0" w:space="0" w:color="auto"/>
            <w:right w:val="none" w:sz="0" w:space="0" w:color="auto"/>
          </w:divBdr>
        </w:div>
        <w:div w:id="89130169">
          <w:marLeft w:val="0"/>
          <w:marRight w:val="0"/>
          <w:marTop w:val="0"/>
          <w:marBottom w:val="0"/>
          <w:divBdr>
            <w:top w:val="none" w:sz="0" w:space="0" w:color="auto"/>
            <w:left w:val="none" w:sz="0" w:space="0" w:color="auto"/>
            <w:bottom w:val="none" w:sz="0" w:space="0" w:color="auto"/>
            <w:right w:val="none" w:sz="0" w:space="0" w:color="auto"/>
          </w:divBdr>
        </w:div>
        <w:div w:id="988484734">
          <w:marLeft w:val="0"/>
          <w:marRight w:val="0"/>
          <w:marTop w:val="0"/>
          <w:marBottom w:val="0"/>
          <w:divBdr>
            <w:top w:val="none" w:sz="0" w:space="0" w:color="auto"/>
            <w:left w:val="none" w:sz="0" w:space="0" w:color="auto"/>
            <w:bottom w:val="none" w:sz="0" w:space="0" w:color="auto"/>
            <w:right w:val="none" w:sz="0" w:space="0" w:color="auto"/>
          </w:divBdr>
        </w:div>
        <w:div w:id="588275045">
          <w:marLeft w:val="0"/>
          <w:marRight w:val="0"/>
          <w:marTop w:val="0"/>
          <w:marBottom w:val="0"/>
          <w:divBdr>
            <w:top w:val="none" w:sz="0" w:space="0" w:color="auto"/>
            <w:left w:val="none" w:sz="0" w:space="0" w:color="auto"/>
            <w:bottom w:val="none" w:sz="0" w:space="0" w:color="auto"/>
            <w:right w:val="none" w:sz="0" w:space="0" w:color="auto"/>
          </w:divBdr>
        </w:div>
        <w:div w:id="455805422">
          <w:marLeft w:val="0"/>
          <w:marRight w:val="0"/>
          <w:marTop w:val="0"/>
          <w:marBottom w:val="0"/>
          <w:divBdr>
            <w:top w:val="none" w:sz="0" w:space="0" w:color="auto"/>
            <w:left w:val="none" w:sz="0" w:space="0" w:color="auto"/>
            <w:bottom w:val="none" w:sz="0" w:space="0" w:color="auto"/>
            <w:right w:val="none" w:sz="0" w:space="0" w:color="auto"/>
          </w:divBdr>
        </w:div>
        <w:div w:id="1874728275">
          <w:marLeft w:val="0"/>
          <w:marRight w:val="0"/>
          <w:marTop w:val="0"/>
          <w:marBottom w:val="0"/>
          <w:divBdr>
            <w:top w:val="none" w:sz="0" w:space="0" w:color="auto"/>
            <w:left w:val="none" w:sz="0" w:space="0" w:color="auto"/>
            <w:bottom w:val="none" w:sz="0" w:space="0" w:color="auto"/>
            <w:right w:val="none" w:sz="0" w:space="0" w:color="auto"/>
          </w:divBdr>
        </w:div>
      </w:divsChild>
    </w:div>
    <w:div w:id="473647752">
      <w:bodyDiv w:val="1"/>
      <w:marLeft w:val="0"/>
      <w:marRight w:val="0"/>
      <w:marTop w:val="0"/>
      <w:marBottom w:val="0"/>
      <w:divBdr>
        <w:top w:val="none" w:sz="0" w:space="0" w:color="auto"/>
        <w:left w:val="none" w:sz="0" w:space="0" w:color="auto"/>
        <w:bottom w:val="none" w:sz="0" w:space="0" w:color="auto"/>
        <w:right w:val="none" w:sz="0" w:space="0" w:color="auto"/>
      </w:divBdr>
    </w:div>
    <w:div w:id="511339801">
      <w:bodyDiv w:val="1"/>
      <w:marLeft w:val="0"/>
      <w:marRight w:val="0"/>
      <w:marTop w:val="0"/>
      <w:marBottom w:val="0"/>
      <w:divBdr>
        <w:top w:val="none" w:sz="0" w:space="0" w:color="auto"/>
        <w:left w:val="none" w:sz="0" w:space="0" w:color="auto"/>
        <w:bottom w:val="none" w:sz="0" w:space="0" w:color="auto"/>
        <w:right w:val="none" w:sz="0" w:space="0" w:color="auto"/>
      </w:divBdr>
    </w:div>
    <w:div w:id="633604144">
      <w:bodyDiv w:val="1"/>
      <w:marLeft w:val="0"/>
      <w:marRight w:val="0"/>
      <w:marTop w:val="0"/>
      <w:marBottom w:val="0"/>
      <w:divBdr>
        <w:top w:val="none" w:sz="0" w:space="0" w:color="auto"/>
        <w:left w:val="none" w:sz="0" w:space="0" w:color="auto"/>
        <w:bottom w:val="none" w:sz="0" w:space="0" w:color="auto"/>
        <w:right w:val="none" w:sz="0" w:space="0" w:color="auto"/>
      </w:divBdr>
    </w:div>
    <w:div w:id="635455116">
      <w:bodyDiv w:val="1"/>
      <w:marLeft w:val="0"/>
      <w:marRight w:val="0"/>
      <w:marTop w:val="0"/>
      <w:marBottom w:val="0"/>
      <w:divBdr>
        <w:top w:val="none" w:sz="0" w:space="0" w:color="auto"/>
        <w:left w:val="none" w:sz="0" w:space="0" w:color="auto"/>
        <w:bottom w:val="none" w:sz="0" w:space="0" w:color="auto"/>
        <w:right w:val="none" w:sz="0" w:space="0" w:color="auto"/>
      </w:divBdr>
    </w:div>
    <w:div w:id="808550059">
      <w:bodyDiv w:val="1"/>
      <w:marLeft w:val="0"/>
      <w:marRight w:val="0"/>
      <w:marTop w:val="0"/>
      <w:marBottom w:val="0"/>
      <w:divBdr>
        <w:top w:val="none" w:sz="0" w:space="0" w:color="auto"/>
        <w:left w:val="none" w:sz="0" w:space="0" w:color="auto"/>
        <w:bottom w:val="none" w:sz="0" w:space="0" w:color="auto"/>
        <w:right w:val="none" w:sz="0" w:space="0" w:color="auto"/>
      </w:divBdr>
      <w:divsChild>
        <w:div w:id="1190293068">
          <w:marLeft w:val="0"/>
          <w:marRight w:val="0"/>
          <w:marTop w:val="0"/>
          <w:marBottom w:val="0"/>
          <w:divBdr>
            <w:top w:val="none" w:sz="0" w:space="0" w:color="auto"/>
            <w:left w:val="none" w:sz="0" w:space="0" w:color="auto"/>
            <w:bottom w:val="none" w:sz="0" w:space="0" w:color="auto"/>
            <w:right w:val="none" w:sz="0" w:space="0" w:color="auto"/>
          </w:divBdr>
          <w:divsChild>
            <w:div w:id="1730109528">
              <w:marLeft w:val="0"/>
              <w:marRight w:val="0"/>
              <w:marTop w:val="0"/>
              <w:marBottom w:val="0"/>
              <w:divBdr>
                <w:top w:val="none" w:sz="0" w:space="0" w:color="auto"/>
                <w:left w:val="none" w:sz="0" w:space="0" w:color="auto"/>
                <w:bottom w:val="none" w:sz="0" w:space="0" w:color="auto"/>
                <w:right w:val="none" w:sz="0" w:space="0" w:color="auto"/>
              </w:divBdr>
            </w:div>
          </w:divsChild>
        </w:div>
        <w:div w:id="1900479579">
          <w:marLeft w:val="0"/>
          <w:marRight w:val="0"/>
          <w:marTop w:val="0"/>
          <w:marBottom w:val="0"/>
          <w:divBdr>
            <w:top w:val="none" w:sz="0" w:space="0" w:color="auto"/>
            <w:left w:val="none" w:sz="0" w:space="0" w:color="auto"/>
            <w:bottom w:val="none" w:sz="0" w:space="0" w:color="auto"/>
            <w:right w:val="none" w:sz="0" w:space="0" w:color="auto"/>
          </w:divBdr>
          <w:divsChild>
            <w:div w:id="9123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28765">
      <w:bodyDiv w:val="1"/>
      <w:marLeft w:val="0"/>
      <w:marRight w:val="0"/>
      <w:marTop w:val="0"/>
      <w:marBottom w:val="0"/>
      <w:divBdr>
        <w:top w:val="none" w:sz="0" w:space="0" w:color="auto"/>
        <w:left w:val="none" w:sz="0" w:space="0" w:color="auto"/>
        <w:bottom w:val="none" w:sz="0" w:space="0" w:color="auto"/>
        <w:right w:val="none" w:sz="0" w:space="0" w:color="auto"/>
      </w:divBdr>
      <w:divsChild>
        <w:div w:id="804204028">
          <w:marLeft w:val="0"/>
          <w:marRight w:val="0"/>
          <w:marTop w:val="0"/>
          <w:marBottom w:val="0"/>
          <w:divBdr>
            <w:top w:val="none" w:sz="0" w:space="0" w:color="auto"/>
            <w:left w:val="none" w:sz="0" w:space="0" w:color="auto"/>
            <w:bottom w:val="none" w:sz="0" w:space="0" w:color="auto"/>
            <w:right w:val="none" w:sz="0" w:space="0" w:color="auto"/>
          </w:divBdr>
        </w:div>
      </w:divsChild>
    </w:div>
    <w:div w:id="887256989">
      <w:bodyDiv w:val="1"/>
      <w:marLeft w:val="0"/>
      <w:marRight w:val="0"/>
      <w:marTop w:val="0"/>
      <w:marBottom w:val="0"/>
      <w:divBdr>
        <w:top w:val="none" w:sz="0" w:space="0" w:color="auto"/>
        <w:left w:val="none" w:sz="0" w:space="0" w:color="auto"/>
        <w:bottom w:val="none" w:sz="0" w:space="0" w:color="auto"/>
        <w:right w:val="none" w:sz="0" w:space="0" w:color="auto"/>
      </w:divBdr>
    </w:div>
    <w:div w:id="1073814511">
      <w:bodyDiv w:val="1"/>
      <w:marLeft w:val="0"/>
      <w:marRight w:val="0"/>
      <w:marTop w:val="0"/>
      <w:marBottom w:val="0"/>
      <w:divBdr>
        <w:top w:val="none" w:sz="0" w:space="0" w:color="auto"/>
        <w:left w:val="none" w:sz="0" w:space="0" w:color="auto"/>
        <w:bottom w:val="none" w:sz="0" w:space="0" w:color="auto"/>
        <w:right w:val="none" w:sz="0" w:space="0" w:color="auto"/>
      </w:divBdr>
    </w:div>
    <w:div w:id="1088309911">
      <w:bodyDiv w:val="1"/>
      <w:marLeft w:val="0"/>
      <w:marRight w:val="0"/>
      <w:marTop w:val="0"/>
      <w:marBottom w:val="0"/>
      <w:divBdr>
        <w:top w:val="none" w:sz="0" w:space="0" w:color="auto"/>
        <w:left w:val="none" w:sz="0" w:space="0" w:color="auto"/>
        <w:bottom w:val="none" w:sz="0" w:space="0" w:color="auto"/>
        <w:right w:val="none" w:sz="0" w:space="0" w:color="auto"/>
      </w:divBdr>
      <w:divsChild>
        <w:div w:id="1663387692">
          <w:marLeft w:val="0"/>
          <w:marRight w:val="0"/>
          <w:marTop w:val="0"/>
          <w:marBottom w:val="0"/>
          <w:divBdr>
            <w:top w:val="none" w:sz="0" w:space="0" w:color="auto"/>
            <w:left w:val="none" w:sz="0" w:space="0" w:color="auto"/>
            <w:bottom w:val="none" w:sz="0" w:space="0" w:color="auto"/>
            <w:right w:val="none" w:sz="0" w:space="0" w:color="auto"/>
          </w:divBdr>
        </w:div>
        <w:div w:id="1552378667">
          <w:marLeft w:val="0"/>
          <w:marRight w:val="0"/>
          <w:marTop w:val="0"/>
          <w:marBottom w:val="0"/>
          <w:divBdr>
            <w:top w:val="none" w:sz="0" w:space="0" w:color="auto"/>
            <w:left w:val="none" w:sz="0" w:space="0" w:color="auto"/>
            <w:bottom w:val="none" w:sz="0" w:space="0" w:color="auto"/>
            <w:right w:val="none" w:sz="0" w:space="0" w:color="auto"/>
          </w:divBdr>
        </w:div>
        <w:div w:id="179977775">
          <w:marLeft w:val="0"/>
          <w:marRight w:val="0"/>
          <w:marTop w:val="0"/>
          <w:marBottom w:val="0"/>
          <w:divBdr>
            <w:top w:val="none" w:sz="0" w:space="0" w:color="auto"/>
            <w:left w:val="none" w:sz="0" w:space="0" w:color="auto"/>
            <w:bottom w:val="none" w:sz="0" w:space="0" w:color="auto"/>
            <w:right w:val="none" w:sz="0" w:space="0" w:color="auto"/>
          </w:divBdr>
        </w:div>
        <w:div w:id="460805812">
          <w:marLeft w:val="0"/>
          <w:marRight w:val="0"/>
          <w:marTop w:val="0"/>
          <w:marBottom w:val="0"/>
          <w:divBdr>
            <w:top w:val="none" w:sz="0" w:space="0" w:color="auto"/>
            <w:left w:val="none" w:sz="0" w:space="0" w:color="auto"/>
            <w:bottom w:val="none" w:sz="0" w:space="0" w:color="auto"/>
            <w:right w:val="none" w:sz="0" w:space="0" w:color="auto"/>
          </w:divBdr>
        </w:div>
        <w:div w:id="1739669429">
          <w:marLeft w:val="0"/>
          <w:marRight w:val="0"/>
          <w:marTop w:val="0"/>
          <w:marBottom w:val="0"/>
          <w:divBdr>
            <w:top w:val="none" w:sz="0" w:space="0" w:color="auto"/>
            <w:left w:val="none" w:sz="0" w:space="0" w:color="auto"/>
            <w:bottom w:val="none" w:sz="0" w:space="0" w:color="auto"/>
            <w:right w:val="none" w:sz="0" w:space="0" w:color="auto"/>
          </w:divBdr>
        </w:div>
        <w:div w:id="669141625">
          <w:marLeft w:val="0"/>
          <w:marRight w:val="0"/>
          <w:marTop w:val="0"/>
          <w:marBottom w:val="0"/>
          <w:divBdr>
            <w:top w:val="none" w:sz="0" w:space="0" w:color="auto"/>
            <w:left w:val="none" w:sz="0" w:space="0" w:color="auto"/>
            <w:bottom w:val="none" w:sz="0" w:space="0" w:color="auto"/>
            <w:right w:val="none" w:sz="0" w:space="0" w:color="auto"/>
          </w:divBdr>
        </w:div>
        <w:div w:id="485365160">
          <w:marLeft w:val="0"/>
          <w:marRight w:val="0"/>
          <w:marTop w:val="0"/>
          <w:marBottom w:val="0"/>
          <w:divBdr>
            <w:top w:val="none" w:sz="0" w:space="0" w:color="auto"/>
            <w:left w:val="none" w:sz="0" w:space="0" w:color="auto"/>
            <w:bottom w:val="none" w:sz="0" w:space="0" w:color="auto"/>
            <w:right w:val="none" w:sz="0" w:space="0" w:color="auto"/>
          </w:divBdr>
        </w:div>
        <w:div w:id="1821582414">
          <w:marLeft w:val="0"/>
          <w:marRight w:val="0"/>
          <w:marTop w:val="0"/>
          <w:marBottom w:val="0"/>
          <w:divBdr>
            <w:top w:val="none" w:sz="0" w:space="0" w:color="auto"/>
            <w:left w:val="none" w:sz="0" w:space="0" w:color="auto"/>
            <w:bottom w:val="none" w:sz="0" w:space="0" w:color="auto"/>
            <w:right w:val="none" w:sz="0" w:space="0" w:color="auto"/>
          </w:divBdr>
        </w:div>
        <w:div w:id="1635940961">
          <w:marLeft w:val="0"/>
          <w:marRight w:val="0"/>
          <w:marTop w:val="0"/>
          <w:marBottom w:val="0"/>
          <w:divBdr>
            <w:top w:val="none" w:sz="0" w:space="0" w:color="auto"/>
            <w:left w:val="none" w:sz="0" w:space="0" w:color="auto"/>
            <w:bottom w:val="none" w:sz="0" w:space="0" w:color="auto"/>
            <w:right w:val="none" w:sz="0" w:space="0" w:color="auto"/>
          </w:divBdr>
        </w:div>
        <w:div w:id="408621715">
          <w:marLeft w:val="0"/>
          <w:marRight w:val="0"/>
          <w:marTop w:val="0"/>
          <w:marBottom w:val="0"/>
          <w:divBdr>
            <w:top w:val="none" w:sz="0" w:space="0" w:color="auto"/>
            <w:left w:val="none" w:sz="0" w:space="0" w:color="auto"/>
            <w:bottom w:val="none" w:sz="0" w:space="0" w:color="auto"/>
            <w:right w:val="none" w:sz="0" w:space="0" w:color="auto"/>
          </w:divBdr>
        </w:div>
        <w:div w:id="699014332">
          <w:marLeft w:val="0"/>
          <w:marRight w:val="0"/>
          <w:marTop w:val="0"/>
          <w:marBottom w:val="0"/>
          <w:divBdr>
            <w:top w:val="none" w:sz="0" w:space="0" w:color="auto"/>
            <w:left w:val="none" w:sz="0" w:space="0" w:color="auto"/>
            <w:bottom w:val="none" w:sz="0" w:space="0" w:color="auto"/>
            <w:right w:val="none" w:sz="0" w:space="0" w:color="auto"/>
          </w:divBdr>
        </w:div>
        <w:div w:id="1630864627">
          <w:marLeft w:val="0"/>
          <w:marRight w:val="0"/>
          <w:marTop w:val="0"/>
          <w:marBottom w:val="0"/>
          <w:divBdr>
            <w:top w:val="none" w:sz="0" w:space="0" w:color="auto"/>
            <w:left w:val="none" w:sz="0" w:space="0" w:color="auto"/>
            <w:bottom w:val="none" w:sz="0" w:space="0" w:color="auto"/>
            <w:right w:val="none" w:sz="0" w:space="0" w:color="auto"/>
          </w:divBdr>
        </w:div>
        <w:div w:id="1602183613">
          <w:marLeft w:val="0"/>
          <w:marRight w:val="0"/>
          <w:marTop w:val="0"/>
          <w:marBottom w:val="0"/>
          <w:divBdr>
            <w:top w:val="none" w:sz="0" w:space="0" w:color="auto"/>
            <w:left w:val="none" w:sz="0" w:space="0" w:color="auto"/>
            <w:bottom w:val="none" w:sz="0" w:space="0" w:color="auto"/>
            <w:right w:val="none" w:sz="0" w:space="0" w:color="auto"/>
          </w:divBdr>
        </w:div>
        <w:div w:id="1080559461">
          <w:marLeft w:val="0"/>
          <w:marRight w:val="0"/>
          <w:marTop w:val="0"/>
          <w:marBottom w:val="0"/>
          <w:divBdr>
            <w:top w:val="none" w:sz="0" w:space="0" w:color="auto"/>
            <w:left w:val="none" w:sz="0" w:space="0" w:color="auto"/>
            <w:bottom w:val="none" w:sz="0" w:space="0" w:color="auto"/>
            <w:right w:val="none" w:sz="0" w:space="0" w:color="auto"/>
          </w:divBdr>
        </w:div>
      </w:divsChild>
    </w:div>
    <w:div w:id="1141842755">
      <w:bodyDiv w:val="1"/>
      <w:marLeft w:val="0"/>
      <w:marRight w:val="0"/>
      <w:marTop w:val="0"/>
      <w:marBottom w:val="0"/>
      <w:divBdr>
        <w:top w:val="none" w:sz="0" w:space="0" w:color="auto"/>
        <w:left w:val="none" w:sz="0" w:space="0" w:color="auto"/>
        <w:bottom w:val="none" w:sz="0" w:space="0" w:color="auto"/>
        <w:right w:val="none" w:sz="0" w:space="0" w:color="auto"/>
      </w:divBdr>
    </w:div>
    <w:div w:id="1214385550">
      <w:bodyDiv w:val="1"/>
      <w:marLeft w:val="0"/>
      <w:marRight w:val="0"/>
      <w:marTop w:val="0"/>
      <w:marBottom w:val="0"/>
      <w:divBdr>
        <w:top w:val="none" w:sz="0" w:space="0" w:color="auto"/>
        <w:left w:val="none" w:sz="0" w:space="0" w:color="auto"/>
        <w:bottom w:val="none" w:sz="0" w:space="0" w:color="auto"/>
        <w:right w:val="none" w:sz="0" w:space="0" w:color="auto"/>
      </w:divBdr>
      <w:divsChild>
        <w:div w:id="1701122368">
          <w:marLeft w:val="0"/>
          <w:marRight w:val="0"/>
          <w:marTop w:val="0"/>
          <w:marBottom w:val="0"/>
          <w:divBdr>
            <w:top w:val="none" w:sz="0" w:space="0" w:color="auto"/>
            <w:left w:val="none" w:sz="0" w:space="0" w:color="auto"/>
            <w:bottom w:val="none" w:sz="0" w:space="0" w:color="auto"/>
            <w:right w:val="none" w:sz="0" w:space="0" w:color="auto"/>
          </w:divBdr>
        </w:div>
      </w:divsChild>
    </w:div>
    <w:div w:id="1243837631">
      <w:bodyDiv w:val="1"/>
      <w:marLeft w:val="0"/>
      <w:marRight w:val="0"/>
      <w:marTop w:val="0"/>
      <w:marBottom w:val="0"/>
      <w:divBdr>
        <w:top w:val="none" w:sz="0" w:space="0" w:color="auto"/>
        <w:left w:val="none" w:sz="0" w:space="0" w:color="auto"/>
        <w:bottom w:val="none" w:sz="0" w:space="0" w:color="auto"/>
        <w:right w:val="none" w:sz="0" w:space="0" w:color="auto"/>
      </w:divBdr>
    </w:div>
    <w:div w:id="1247691007">
      <w:bodyDiv w:val="1"/>
      <w:marLeft w:val="0"/>
      <w:marRight w:val="0"/>
      <w:marTop w:val="0"/>
      <w:marBottom w:val="0"/>
      <w:divBdr>
        <w:top w:val="none" w:sz="0" w:space="0" w:color="auto"/>
        <w:left w:val="none" w:sz="0" w:space="0" w:color="auto"/>
        <w:bottom w:val="none" w:sz="0" w:space="0" w:color="auto"/>
        <w:right w:val="none" w:sz="0" w:space="0" w:color="auto"/>
      </w:divBdr>
    </w:div>
    <w:div w:id="1262833549">
      <w:bodyDiv w:val="1"/>
      <w:marLeft w:val="0"/>
      <w:marRight w:val="0"/>
      <w:marTop w:val="0"/>
      <w:marBottom w:val="0"/>
      <w:divBdr>
        <w:top w:val="none" w:sz="0" w:space="0" w:color="auto"/>
        <w:left w:val="none" w:sz="0" w:space="0" w:color="auto"/>
        <w:bottom w:val="none" w:sz="0" w:space="0" w:color="auto"/>
        <w:right w:val="none" w:sz="0" w:space="0" w:color="auto"/>
      </w:divBdr>
    </w:div>
    <w:div w:id="1302495054">
      <w:bodyDiv w:val="1"/>
      <w:marLeft w:val="0"/>
      <w:marRight w:val="0"/>
      <w:marTop w:val="0"/>
      <w:marBottom w:val="0"/>
      <w:divBdr>
        <w:top w:val="none" w:sz="0" w:space="0" w:color="auto"/>
        <w:left w:val="none" w:sz="0" w:space="0" w:color="auto"/>
        <w:bottom w:val="none" w:sz="0" w:space="0" w:color="auto"/>
        <w:right w:val="none" w:sz="0" w:space="0" w:color="auto"/>
      </w:divBdr>
    </w:div>
    <w:div w:id="1334913127">
      <w:bodyDiv w:val="1"/>
      <w:marLeft w:val="0"/>
      <w:marRight w:val="0"/>
      <w:marTop w:val="0"/>
      <w:marBottom w:val="0"/>
      <w:divBdr>
        <w:top w:val="none" w:sz="0" w:space="0" w:color="auto"/>
        <w:left w:val="none" w:sz="0" w:space="0" w:color="auto"/>
        <w:bottom w:val="none" w:sz="0" w:space="0" w:color="auto"/>
        <w:right w:val="none" w:sz="0" w:space="0" w:color="auto"/>
      </w:divBdr>
    </w:div>
    <w:div w:id="1343437469">
      <w:bodyDiv w:val="1"/>
      <w:marLeft w:val="0"/>
      <w:marRight w:val="0"/>
      <w:marTop w:val="0"/>
      <w:marBottom w:val="0"/>
      <w:divBdr>
        <w:top w:val="none" w:sz="0" w:space="0" w:color="auto"/>
        <w:left w:val="none" w:sz="0" w:space="0" w:color="auto"/>
        <w:bottom w:val="none" w:sz="0" w:space="0" w:color="auto"/>
        <w:right w:val="none" w:sz="0" w:space="0" w:color="auto"/>
      </w:divBdr>
    </w:div>
    <w:div w:id="1401246051">
      <w:bodyDiv w:val="1"/>
      <w:marLeft w:val="0"/>
      <w:marRight w:val="0"/>
      <w:marTop w:val="0"/>
      <w:marBottom w:val="0"/>
      <w:divBdr>
        <w:top w:val="none" w:sz="0" w:space="0" w:color="auto"/>
        <w:left w:val="none" w:sz="0" w:space="0" w:color="auto"/>
        <w:bottom w:val="none" w:sz="0" w:space="0" w:color="auto"/>
        <w:right w:val="none" w:sz="0" w:space="0" w:color="auto"/>
      </w:divBdr>
    </w:div>
    <w:div w:id="1469545828">
      <w:bodyDiv w:val="1"/>
      <w:marLeft w:val="0"/>
      <w:marRight w:val="0"/>
      <w:marTop w:val="0"/>
      <w:marBottom w:val="0"/>
      <w:divBdr>
        <w:top w:val="none" w:sz="0" w:space="0" w:color="auto"/>
        <w:left w:val="none" w:sz="0" w:space="0" w:color="auto"/>
        <w:bottom w:val="none" w:sz="0" w:space="0" w:color="auto"/>
        <w:right w:val="none" w:sz="0" w:space="0" w:color="auto"/>
      </w:divBdr>
      <w:divsChild>
        <w:div w:id="338971765">
          <w:marLeft w:val="0"/>
          <w:marRight w:val="0"/>
          <w:marTop w:val="0"/>
          <w:marBottom w:val="0"/>
          <w:divBdr>
            <w:top w:val="none" w:sz="0" w:space="0" w:color="auto"/>
            <w:left w:val="none" w:sz="0" w:space="0" w:color="auto"/>
            <w:bottom w:val="none" w:sz="0" w:space="0" w:color="auto"/>
            <w:right w:val="none" w:sz="0" w:space="0" w:color="auto"/>
          </w:divBdr>
        </w:div>
        <w:div w:id="825442535">
          <w:marLeft w:val="0"/>
          <w:marRight w:val="0"/>
          <w:marTop w:val="0"/>
          <w:marBottom w:val="0"/>
          <w:divBdr>
            <w:top w:val="none" w:sz="0" w:space="0" w:color="auto"/>
            <w:left w:val="none" w:sz="0" w:space="0" w:color="auto"/>
            <w:bottom w:val="none" w:sz="0" w:space="0" w:color="auto"/>
            <w:right w:val="none" w:sz="0" w:space="0" w:color="auto"/>
          </w:divBdr>
        </w:div>
        <w:div w:id="1975720430">
          <w:marLeft w:val="0"/>
          <w:marRight w:val="0"/>
          <w:marTop w:val="0"/>
          <w:marBottom w:val="0"/>
          <w:divBdr>
            <w:top w:val="none" w:sz="0" w:space="0" w:color="auto"/>
            <w:left w:val="none" w:sz="0" w:space="0" w:color="auto"/>
            <w:bottom w:val="none" w:sz="0" w:space="0" w:color="auto"/>
            <w:right w:val="none" w:sz="0" w:space="0" w:color="auto"/>
          </w:divBdr>
        </w:div>
      </w:divsChild>
    </w:div>
    <w:div w:id="1514765720">
      <w:bodyDiv w:val="1"/>
      <w:marLeft w:val="0"/>
      <w:marRight w:val="0"/>
      <w:marTop w:val="0"/>
      <w:marBottom w:val="0"/>
      <w:divBdr>
        <w:top w:val="none" w:sz="0" w:space="0" w:color="auto"/>
        <w:left w:val="none" w:sz="0" w:space="0" w:color="auto"/>
        <w:bottom w:val="none" w:sz="0" w:space="0" w:color="auto"/>
        <w:right w:val="none" w:sz="0" w:space="0" w:color="auto"/>
      </w:divBdr>
    </w:div>
    <w:div w:id="1519390409">
      <w:bodyDiv w:val="1"/>
      <w:marLeft w:val="0"/>
      <w:marRight w:val="0"/>
      <w:marTop w:val="0"/>
      <w:marBottom w:val="0"/>
      <w:divBdr>
        <w:top w:val="none" w:sz="0" w:space="0" w:color="auto"/>
        <w:left w:val="none" w:sz="0" w:space="0" w:color="auto"/>
        <w:bottom w:val="none" w:sz="0" w:space="0" w:color="auto"/>
        <w:right w:val="none" w:sz="0" w:space="0" w:color="auto"/>
      </w:divBdr>
    </w:div>
    <w:div w:id="1523401152">
      <w:bodyDiv w:val="1"/>
      <w:marLeft w:val="0"/>
      <w:marRight w:val="0"/>
      <w:marTop w:val="0"/>
      <w:marBottom w:val="0"/>
      <w:divBdr>
        <w:top w:val="none" w:sz="0" w:space="0" w:color="auto"/>
        <w:left w:val="none" w:sz="0" w:space="0" w:color="auto"/>
        <w:bottom w:val="none" w:sz="0" w:space="0" w:color="auto"/>
        <w:right w:val="none" w:sz="0" w:space="0" w:color="auto"/>
      </w:divBdr>
    </w:div>
    <w:div w:id="1577014215">
      <w:bodyDiv w:val="1"/>
      <w:marLeft w:val="0"/>
      <w:marRight w:val="0"/>
      <w:marTop w:val="0"/>
      <w:marBottom w:val="0"/>
      <w:divBdr>
        <w:top w:val="none" w:sz="0" w:space="0" w:color="auto"/>
        <w:left w:val="none" w:sz="0" w:space="0" w:color="auto"/>
        <w:bottom w:val="none" w:sz="0" w:space="0" w:color="auto"/>
        <w:right w:val="none" w:sz="0" w:space="0" w:color="auto"/>
      </w:divBdr>
    </w:div>
    <w:div w:id="1591041545">
      <w:bodyDiv w:val="1"/>
      <w:marLeft w:val="0"/>
      <w:marRight w:val="0"/>
      <w:marTop w:val="0"/>
      <w:marBottom w:val="0"/>
      <w:divBdr>
        <w:top w:val="none" w:sz="0" w:space="0" w:color="auto"/>
        <w:left w:val="none" w:sz="0" w:space="0" w:color="auto"/>
        <w:bottom w:val="none" w:sz="0" w:space="0" w:color="auto"/>
        <w:right w:val="none" w:sz="0" w:space="0" w:color="auto"/>
      </w:divBdr>
    </w:div>
    <w:div w:id="1605722609">
      <w:bodyDiv w:val="1"/>
      <w:marLeft w:val="0"/>
      <w:marRight w:val="0"/>
      <w:marTop w:val="0"/>
      <w:marBottom w:val="0"/>
      <w:divBdr>
        <w:top w:val="none" w:sz="0" w:space="0" w:color="auto"/>
        <w:left w:val="none" w:sz="0" w:space="0" w:color="auto"/>
        <w:bottom w:val="none" w:sz="0" w:space="0" w:color="auto"/>
        <w:right w:val="none" w:sz="0" w:space="0" w:color="auto"/>
      </w:divBdr>
      <w:divsChild>
        <w:div w:id="240414986">
          <w:marLeft w:val="0"/>
          <w:marRight w:val="0"/>
          <w:marTop w:val="0"/>
          <w:marBottom w:val="0"/>
          <w:divBdr>
            <w:top w:val="none" w:sz="0" w:space="0" w:color="auto"/>
            <w:left w:val="none" w:sz="0" w:space="0" w:color="auto"/>
            <w:bottom w:val="none" w:sz="0" w:space="0" w:color="auto"/>
            <w:right w:val="none" w:sz="0" w:space="0" w:color="auto"/>
          </w:divBdr>
          <w:divsChild>
            <w:div w:id="82380774">
              <w:marLeft w:val="0"/>
              <w:marRight w:val="0"/>
              <w:marTop w:val="0"/>
              <w:marBottom w:val="0"/>
              <w:divBdr>
                <w:top w:val="none" w:sz="0" w:space="0" w:color="auto"/>
                <w:left w:val="none" w:sz="0" w:space="0" w:color="auto"/>
                <w:bottom w:val="none" w:sz="0" w:space="0" w:color="auto"/>
                <w:right w:val="none" w:sz="0" w:space="0" w:color="auto"/>
              </w:divBdr>
            </w:div>
          </w:divsChild>
        </w:div>
        <w:div w:id="627515824">
          <w:marLeft w:val="0"/>
          <w:marRight w:val="0"/>
          <w:marTop w:val="0"/>
          <w:marBottom w:val="0"/>
          <w:divBdr>
            <w:top w:val="none" w:sz="0" w:space="0" w:color="auto"/>
            <w:left w:val="none" w:sz="0" w:space="0" w:color="auto"/>
            <w:bottom w:val="none" w:sz="0" w:space="0" w:color="auto"/>
            <w:right w:val="none" w:sz="0" w:space="0" w:color="auto"/>
          </w:divBdr>
          <w:divsChild>
            <w:div w:id="179236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9423">
      <w:bodyDiv w:val="1"/>
      <w:marLeft w:val="0"/>
      <w:marRight w:val="0"/>
      <w:marTop w:val="0"/>
      <w:marBottom w:val="0"/>
      <w:divBdr>
        <w:top w:val="none" w:sz="0" w:space="0" w:color="auto"/>
        <w:left w:val="none" w:sz="0" w:space="0" w:color="auto"/>
        <w:bottom w:val="none" w:sz="0" w:space="0" w:color="auto"/>
        <w:right w:val="none" w:sz="0" w:space="0" w:color="auto"/>
      </w:divBdr>
      <w:divsChild>
        <w:div w:id="115680891">
          <w:marLeft w:val="0"/>
          <w:marRight w:val="0"/>
          <w:marTop w:val="0"/>
          <w:marBottom w:val="0"/>
          <w:divBdr>
            <w:top w:val="none" w:sz="0" w:space="0" w:color="auto"/>
            <w:left w:val="none" w:sz="0" w:space="0" w:color="auto"/>
            <w:bottom w:val="none" w:sz="0" w:space="0" w:color="auto"/>
            <w:right w:val="none" w:sz="0" w:space="0" w:color="auto"/>
          </w:divBdr>
          <w:divsChild>
            <w:div w:id="1799906955">
              <w:marLeft w:val="0"/>
              <w:marRight w:val="0"/>
              <w:marTop w:val="0"/>
              <w:marBottom w:val="0"/>
              <w:divBdr>
                <w:top w:val="none" w:sz="0" w:space="0" w:color="auto"/>
                <w:left w:val="none" w:sz="0" w:space="0" w:color="auto"/>
                <w:bottom w:val="none" w:sz="0" w:space="0" w:color="auto"/>
                <w:right w:val="none" w:sz="0" w:space="0" w:color="auto"/>
              </w:divBdr>
            </w:div>
          </w:divsChild>
        </w:div>
        <w:div w:id="2106613493">
          <w:marLeft w:val="0"/>
          <w:marRight w:val="0"/>
          <w:marTop w:val="0"/>
          <w:marBottom w:val="0"/>
          <w:divBdr>
            <w:top w:val="none" w:sz="0" w:space="0" w:color="auto"/>
            <w:left w:val="none" w:sz="0" w:space="0" w:color="auto"/>
            <w:bottom w:val="none" w:sz="0" w:space="0" w:color="auto"/>
            <w:right w:val="none" w:sz="0" w:space="0" w:color="auto"/>
          </w:divBdr>
          <w:divsChild>
            <w:div w:id="15335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7728">
      <w:bodyDiv w:val="1"/>
      <w:marLeft w:val="0"/>
      <w:marRight w:val="0"/>
      <w:marTop w:val="0"/>
      <w:marBottom w:val="0"/>
      <w:divBdr>
        <w:top w:val="none" w:sz="0" w:space="0" w:color="auto"/>
        <w:left w:val="none" w:sz="0" w:space="0" w:color="auto"/>
        <w:bottom w:val="none" w:sz="0" w:space="0" w:color="auto"/>
        <w:right w:val="none" w:sz="0" w:space="0" w:color="auto"/>
      </w:divBdr>
    </w:div>
    <w:div w:id="1746802020">
      <w:bodyDiv w:val="1"/>
      <w:marLeft w:val="0"/>
      <w:marRight w:val="0"/>
      <w:marTop w:val="0"/>
      <w:marBottom w:val="0"/>
      <w:divBdr>
        <w:top w:val="none" w:sz="0" w:space="0" w:color="auto"/>
        <w:left w:val="none" w:sz="0" w:space="0" w:color="auto"/>
        <w:bottom w:val="none" w:sz="0" w:space="0" w:color="auto"/>
        <w:right w:val="none" w:sz="0" w:space="0" w:color="auto"/>
      </w:divBdr>
    </w:div>
    <w:div w:id="1758359257">
      <w:bodyDiv w:val="1"/>
      <w:marLeft w:val="0"/>
      <w:marRight w:val="0"/>
      <w:marTop w:val="0"/>
      <w:marBottom w:val="0"/>
      <w:divBdr>
        <w:top w:val="none" w:sz="0" w:space="0" w:color="auto"/>
        <w:left w:val="none" w:sz="0" w:space="0" w:color="auto"/>
        <w:bottom w:val="none" w:sz="0" w:space="0" w:color="auto"/>
        <w:right w:val="none" w:sz="0" w:space="0" w:color="auto"/>
      </w:divBdr>
    </w:div>
    <w:div w:id="1837110718">
      <w:bodyDiv w:val="1"/>
      <w:marLeft w:val="0"/>
      <w:marRight w:val="0"/>
      <w:marTop w:val="0"/>
      <w:marBottom w:val="0"/>
      <w:divBdr>
        <w:top w:val="none" w:sz="0" w:space="0" w:color="auto"/>
        <w:left w:val="none" w:sz="0" w:space="0" w:color="auto"/>
        <w:bottom w:val="none" w:sz="0" w:space="0" w:color="auto"/>
        <w:right w:val="none" w:sz="0" w:space="0" w:color="auto"/>
      </w:divBdr>
    </w:div>
    <w:div w:id="1839075884">
      <w:bodyDiv w:val="1"/>
      <w:marLeft w:val="0"/>
      <w:marRight w:val="0"/>
      <w:marTop w:val="0"/>
      <w:marBottom w:val="0"/>
      <w:divBdr>
        <w:top w:val="none" w:sz="0" w:space="0" w:color="auto"/>
        <w:left w:val="none" w:sz="0" w:space="0" w:color="auto"/>
        <w:bottom w:val="none" w:sz="0" w:space="0" w:color="auto"/>
        <w:right w:val="none" w:sz="0" w:space="0" w:color="auto"/>
      </w:divBdr>
    </w:div>
    <w:div w:id="1925793611">
      <w:bodyDiv w:val="1"/>
      <w:marLeft w:val="0"/>
      <w:marRight w:val="0"/>
      <w:marTop w:val="0"/>
      <w:marBottom w:val="0"/>
      <w:divBdr>
        <w:top w:val="none" w:sz="0" w:space="0" w:color="auto"/>
        <w:left w:val="none" w:sz="0" w:space="0" w:color="auto"/>
        <w:bottom w:val="none" w:sz="0" w:space="0" w:color="auto"/>
        <w:right w:val="none" w:sz="0" w:space="0" w:color="auto"/>
      </w:divBdr>
    </w:div>
    <w:div w:id="1932617509">
      <w:bodyDiv w:val="1"/>
      <w:marLeft w:val="0"/>
      <w:marRight w:val="0"/>
      <w:marTop w:val="0"/>
      <w:marBottom w:val="0"/>
      <w:divBdr>
        <w:top w:val="none" w:sz="0" w:space="0" w:color="auto"/>
        <w:left w:val="none" w:sz="0" w:space="0" w:color="auto"/>
        <w:bottom w:val="none" w:sz="0" w:space="0" w:color="auto"/>
        <w:right w:val="none" w:sz="0" w:space="0" w:color="auto"/>
      </w:divBdr>
    </w:div>
    <w:div w:id="1998806501">
      <w:bodyDiv w:val="1"/>
      <w:marLeft w:val="0"/>
      <w:marRight w:val="0"/>
      <w:marTop w:val="0"/>
      <w:marBottom w:val="0"/>
      <w:divBdr>
        <w:top w:val="none" w:sz="0" w:space="0" w:color="auto"/>
        <w:left w:val="none" w:sz="0" w:space="0" w:color="auto"/>
        <w:bottom w:val="none" w:sz="0" w:space="0" w:color="auto"/>
        <w:right w:val="none" w:sz="0" w:space="0" w:color="auto"/>
      </w:divBdr>
    </w:div>
    <w:div w:id="204597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it.europa.eu/eit-community/eit-climate-kic" TargetMode="External"/><Relationship Id="rId18" Type="http://schemas.openxmlformats.org/officeDocument/2006/relationships/hyperlink" Target="https://eit.europa.eu/eit-community/eit-manufacturing"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commission.europa.eu/publications/business-partners-legal-entities-and-bank-accounts_en"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hyperlink" Target="http://eit.europa.eu/eit-community/eit-health" TargetMode="External"/><Relationship Id="rId25" Type="http://schemas.openxmlformats.org/officeDocument/2006/relationships/footer" Target="footer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eit.europa.eu/eit-community/eit-food" TargetMode="External"/><Relationship Id="rId20" Type="http://schemas.openxmlformats.org/officeDocument/2006/relationships/hyperlink" Target="https://eit.europa.eu/eit-community/eit-urban-mobility" TargetMode="External"/><Relationship Id="rId29" Type="http://schemas.openxmlformats.org/officeDocument/2006/relationships/hyperlink" Target="https://www.eit.europa.eu/sites/default/files/2025-03/EIT%20RIS%20Implementation%20Framework%20%28Updated%202025-2027%2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it.europa.eu/eit-community/eit-innoenergy" TargetMode="External"/><Relationship Id="rId23" Type="http://schemas.openxmlformats.org/officeDocument/2006/relationships/header" Target="header1.xml"/><Relationship Id="rId28" Type="http://schemas.openxmlformats.org/officeDocument/2006/relationships/hyperlink" Target="https://www.eit.europa.eu/sites/default/files/2025-03/EIT%20RIS%20Implementation%20Framework%20%28Updated%202025-2027%29.pdf" TargetMode="External"/><Relationship Id="rId10" Type="http://schemas.openxmlformats.org/officeDocument/2006/relationships/endnotes" Target="endnotes.xml"/><Relationship Id="rId19" Type="http://schemas.openxmlformats.org/officeDocument/2006/relationships/hyperlink" Target="http://eit.europa.eu/eit-community/eit-raw-material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it.europa.eu/eit-community/eit-digital" TargetMode="External"/><Relationship Id="rId22" Type="http://schemas.openxmlformats.org/officeDocument/2006/relationships/hyperlink" Target="mailto:procurement@eiturbanmobility.eu" TargetMode="External"/><Relationship Id="rId27" Type="http://schemas.openxmlformats.org/officeDocument/2006/relationships/hyperlink" Target="https://eur-lex.europa.eu/legal-content/EN/TXT/?uri=CELEX%3A32021D0820&amp;qid=1624882966988" TargetMode="External"/><Relationship Id="rId30" Type="http://schemas.openxmlformats.org/officeDocument/2006/relationships/hyperlink" Target="https://www.eit.europa.eu/library/eit-simplified-impact-framework"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jandroCampillo\Downloads\EIT%20UM%20Report%20template%202021-2027.dotx" TargetMode="External"/></Relationships>
</file>

<file path=word/documenttasks/documenttasks1.xml><?xml version="1.0" encoding="utf-8"?>
<t:Tasks xmlns:t="http://schemas.microsoft.com/office/tasks/2019/documenttasks" xmlns:oel="http://schemas.microsoft.com/office/2019/extlst">
  <t:Task id="{A59B6D2C-90F6-4E8E-87C9-7573721A5381}">
    <t:Anchor>
      <t:Comment id="709778611"/>
    </t:Anchor>
    <t:History>
      <t:Event id="{87916F25-FB54-4195-AABB-4F031DEE680F}" time="2024-07-29T14:07:25.532Z">
        <t:Attribution userId="S::loretta.joyce@eiturbanmobility.eu::d61810eb-a182-4182-9a72-4756298af193" userProvider="AD" userName="Loretta Joyce"/>
        <t:Anchor>
          <t:Comment id="710032573"/>
        </t:Anchor>
        <t:Create/>
      </t:Event>
      <t:Event id="{CB514094-B72C-46D7-8F85-7CFC593938D3}" time="2024-07-29T14:07:25.532Z">
        <t:Attribution userId="S::loretta.joyce@eiturbanmobility.eu::d61810eb-a182-4182-9a72-4756298af193" userProvider="AD" userName="Loretta Joyce"/>
        <t:Anchor>
          <t:Comment id="710032573"/>
        </t:Anchor>
        <t:Assign userId="S::josep.mari.cervera@eiturbanmobility.eu::cd4e7bdd-492a-4feb-8733-9ec877904602" userProvider="AD" userName="Josep Marí Cervera"/>
      </t:Event>
      <t:Event id="{2A53C8B3-DCCF-43E7-9304-23D7915CEF90}" time="2024-07-29T14:07:25.532Z">
        <t:Attribution userId="S::loretta.joyce@eiturbanmobility.eu::d61810eb-a182-4182-9a72-4756298af193" userProvider="AD" userName="Loretta Joyce"/>
        <t:Anchor>
          <t:Comment id="710032573"/>
        </t:Anchor>
        <t:SetTitle title="@Josep Marí Cervera "/>
      </t:Event>
    </t:History>
  </t:Task>
  <t:Task id="{7AC2F54B-94FA-43BD-A54D-10D3E50840D2}">
    <t:Anchor>
      <t:Comment id="710034095"/>
    </t:Anchor>
    <t:History>
      <t:Event id="{E8EAFC30-5E15-4047-8B54-AAA8D7E865A4}" time="2024-07-29T14:32:47.103Z">
        <t:Attribution userId="S::loretta.joyce@eiturbanmobility.eu::d61810eb-a182-4182-9a72-4756298af193" userProvider="AD" userName="Loretta Joyce"/>
        <t:Anchor>
          <t:Comment id="710034095"/>
        </t:Anchor>
        <t:Create/>
      </t:Event>
      <t:Event id="{14A05D1E-525A-4D72-A290-8339B8AE0C59}" time="2024-07-29T14:32:47.103Z">
        <t:Attribution userId="S::loretta.joyce@eiturbanmobility.eu::d61810eb-a182-4182-9a72-4756298af193" userProvider="AD" userName="Loretta Joyce"/>
        <t:Anchor>
          <t:Comment id="710034095"/>
        </t:Anchor>
        <t:Assign userId="S::josep.mari.cervera@eiturbanmobility.eu::cd4e7bdd-492a-4feb-8733-9ec877904602" userProvider="AD" userName="Josep Marí Cervera"/>
      </t:Event>
      <t:Event id="{A0C2DDCA-8C43-4DC0-A0E3-DF24A027B7CF}" time="2024-07-29T14:32:47.103Z">
        <t:Attribution userId="S::loretta.joyce@eiturbanmobility.eu::d61810eb-a182-4182-9a72-4756298af193" userProvider="AD" userName="Loretta Joyce"/>
        <t:Anchor>
          <t:Comment id="710034095"/>
        </t:Anchor>
        <t:SetTitle title="@Josep Marí Cervera add in the Gender Balance if same scoring achieved"/>
      </t:Event>
    </t:History>
  </t:Task>
  <t:Task id="{E25E432D-EBEC-476F-8B46-AA8DF4FAB5B4}">
    <t:Anchor>
      <t:Comment id="1298472994"/>
    </t:Anchor>
    <t:History>
      <t:Event id="{A0249E1D-8D98-4646-8D5B-6AF0D1602794}" time="2025-08-06T13:36:43.9Z">
        <t:Attribution userId="S::loretta.joyce@eiturbanmobility.eu::d61810eb-a182-4182-9a72-4756298af193" userProvider="AD" userName="Loretta Joyce"/>
        <t:Anchor>
          <t:Comment id="1298472994"/>
        </t:Anchor>
        <t:Create/>
      </t:Event>
      <t:Event id="{CD595376-5198-4D0C-B029-091893E60A17}" time="2025-08-06T13:36:43.9Z">
        <t:Attribution userId="S::loretta.joyce@eiturbanmobility.eu::d61810eb-a182-4182-9a72-4756298af193" userProvider="AD" userName="Loretta Joyce"/>
        <t:Anchor>
          <t:Comment id="1298472994"/>
        </t:Anchor>
        <t:Assign userId="S::josep.mari.cervera@eiturbanmobility.eu::cd4e7bdd-492a-4feb-8733-9ec877904602" userProvider="AD" userName="Josep Marí Cervera"/>
      </t:Event>
      <t:Event id="{52FCBC38-5185-4E48-9550-48DD29DC854A}" time="2025-08-06T13:36:43.9Z">
        <t:Attribution userId="S::loretta.joyce@eiturbanmobility.eu::d61810eb-a182-4182-9a72-4756298af193" userProvider="AD" userName="Loretta Joyce"/>
        <t:Anchor>
          <t:Comment id="1298472994"/>
        </t:Anchor>
        <t:SetTitle title="@Josep Marí Cervera can you review as total does not match amount in the approved PUR"/>
      </t:Event>
      <t:Event id="{CC68329A-B68A-4F7B-AEF2-5878C4E8BC07}" time="2025-08-07T12:43:42.151Z">
        <t:Attribution userId="S::josep.mari.cervera@eiturbanmobility.eu::cd4e7bdd-492a-4feb-8733-9ec877904602" userProvider="AD" userName="Josep Marí Cervera"/>
        <t:Progress percentComplete="100"/>
      </t:Event>
    </t:History>
  </t:Task>
</t:Task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82120ffcf44d0247e5f92fb7b416d999">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ad65121350a9e107c2999d8287a11021"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f1bd9c-3c5b-4381-8ddf-1972b13f286a" xsi:nil="true"/>
    <lcf76f155ced4ddcb4097134ff3c332f xmlns="6fdb6835-e4b0-42b5-b84e-4b566bfe930a">
      <Terms xmlns="http://schemas.microsoft.com/office/infopath/2007/PartnerControls"/>
    </lcf76f155ced4ddcb4097134ff3c332f>
    <SharedWithUsers xmlns="40f1bd9c-3c5b-4381-8ddf-1972b13f286a">
      <UserInfo>
        <DisplayName>Mária Anikó Varga</DisplayName>
        <AccountId>121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6E2E865-B576-4A75-8FB8-B79307B4DE00}">
  <ds:schemaRefs>
    <ds:schemaRef ds:uri="http://schemas.openxmlformats.org/officeDocument/2006/bibliography"/>
  </ds:schemaRefs>
</ds:datastoreItem>
</file>

<file path=customXml/itemProps2.xml><?xml version="1.0" encoding="utf-8"?>
<ds:datastoreItem xmlns:ds="http://schemas.openxmlformats.org/officeDocument/2006/customXml" ds:itemID="{1B8D937F-D1E4-443C-BF16-8427B21348C4}">
  <ds:schemaRefs>
    <ds:schemaRef ds:uri="http://schemas.microsoft.com/sharepoint/v3/contenttype/forms"/>
  </ds:schemaRefs>
</ds:datastoreItem>
</file>

<file path=customXml/itemProps3.xml><?xml version="1.0" encoding="utf-8"?>
<ds:datastoreItem xmlns:ds="http://schemas.openxmlformats.org/officeDocument/2006/customXml" ds:itemID="{3C078135-BF0F-4930-A3DD-DC2694BAD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637887-79BB-41F8-953C-F4269890E7AA}">
  <ds:schemaRefs>
    <ds:schemaRef ds:uri="http://schemas.microsoft.com/office/2006/metadata/properties"/>
    <ds:schemaRef ds:uri="40f1bd9c-3c5b-4381-8ddf-1972b13f286a"/>
    <ds:schemaRef ds:uri="http://purl.org/dc/terms/"/>
    <ds:schemaRef ds:uri="http://schemas.microsoft.com/sharepoint/v3"/>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6fdb6835-e4b0-42b5-b84e-4b566bfe930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EIT UM Report template 2021-2027</Template>
  <TotalTime>0</TotalTime>
  <Pages>93</Pages>
  <Words>29595</Words>
  <Characters>166636</Characters>
  <Application>Microsoft Office Word</Application>
  <DocSecurity>0</DocSecurity>
  <Lines>1388</Lines>
  <Paragraphs>391</Paragraphs>
  <ScaleCrop>false</ScaleCrop>
  <Company>Ecorys UK</Company>
  <LinksUpToDate>false</LinksUpToDate>
  <CharactersWithSpaces>195840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Loretta Joyce</cp:lastModifiedBy>
  <cp:revision>23</cp:revision>
  <cp:lastPrinted>2025-08-22T15:00:00Z</cp:lastPrinted>
  <dcterms:created xsi:type="dcterms:W3CDTF">2025-08-06T08:11:00Z</dcterms:created>
  <dcterms:modified xsi:type="dcterms:W3CDTF">2025-08-22T15:01:00Z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c1810705a61ada5f709bea0689245afebe3ebecf400ef13f1c8b469f26f772b3</vt:lpwstr>
  </property>
  <property fmtid="{D5CDD505-2E9C-101B-9397-08002B2CF9AE}" pid="4" name="ContentTypeId">
    <vt:lpwstr>0x0101008FEC8A2DAFFB8040AED6B962998E5AF5</vt:lpwstr>
  </property>
</Properties>
</file>